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227"/>
        <w:gridCol w:w="283"/>
        <w:gridCol w:w="6237"/>
      </w:tblGrid>
      <w:tr w:rsidR="004F0607" w:rsidRPr="00F67C75" w:rsidTr="00B711E6">
        <w:tc>
          <w:tcPr>
            <w:tcW w:w="3227" w:type="dxa"/>
          </w:tcPr>
          <w:p w:rsidR="004F0607" w:rsidRPr="00F67C75" w:rsidRDefault="004F0607" w:rsidP="00B711E6">
            <w:pPr>
              <w:pStyle w:val="Heading1"/>
              <w:jc w:val="center"/>
              <w:rPr>
                <w:rFonts w:ascii="Times New Roman" w:hAnsi="Times New Roman"/>
                <w:b/>
                <w:szCs w:val="28"/>
              </w:rPr>
            </w:pPr>
            <w:r w:rsidRPr="00F67C75">
              <w:rPr>
                <w:rFonts w:ascii="Times New Roman" w:hAnsi="Times New Roman"/>
                <w:b/>
                <w:szCs w:val="28"/>
              </w:rPr>
              <w:t>ỦY BAN NHÂN DÂN</w:t>
            </w:r>
          </w:p>
          <w:p w:rsidR="004F0607" w:rsidRPr="00F67C75" w:rsidRDefault="004F0607" w:rsidP="00B711E6">
            <w:pPr>
              <w:jc w:val="center"/>
              <w:rPr>
                <w:b/>
                <w:sz w:val="26"/>
                <w:lang w:eastAsia="vi-VN"/>
              </w:rPr>
            </w:pPr>
            <w:r w:rsidRPr="00F67C75">
              <w:rPr>
                <w:b/>
                <w:sz w:val="26"/>
                <w:lang w:eastAsia="vi-VN"/>
              </w:rPr>
              <w:t>TỈNH BẾN TRE</w:t>
            </w:r>
          </w:p>
          <w:p w:rsidR="004F0607" w:rsidRPr="00F67C75" w:rsidRDefault="004F0607" w:rsidP="00B711E6">
            <w:pPr>
              <w:jc w:val="center"/>
              <w:rPr>
                <w:sz w:val="18"/>
                <w:szCs w:val="26"/>
                <w:lang w:eastAsia="vi-VN"/>
              </w:rPr>
            </w:pPr>
            <w:r w:rsidRPr="00F67C75">
              <w:rPr>
                <w:b/>
                <w:noProof/>
              </w:rPr>
              <w:pict>
                <v:line id="_x0000_s1026" style="position:absolute;left:0;text-align:left;z-index:251660288" from="45.95pt,.85pt" to="96.45pt,.85pt"/>
              </w:pict>
            </w:r>
            <w:r w:rsidRPr="00F67C75">
              <w:rPr>
                <w:sz w:val="26"/>
                <w:szCs w:val="26"/>
                <w:lang w:eastAsia="vi-VN"/>
              </w:rPr>
              <w:t xml:space="preserve"> </w:t>
            </w:r>
          </w:p>
          <w:p w:rsidR="004F0607" w:rsidRPr="00F67C75" w:rsidRDefault="004F0607" w:rsidP="00B711E6">
            <w:pPr>
              <w:jc w:val="center"/>
              <w:rPr>
                <w:lang w:eastAsia="vi-VN"/>
              </w:rPr>
            </w:pPr>
            <w:r w:rsidRPr="00F67C75">
              <w:rPr>
                <w:sz w:val="26"/>
                <w:lang w:eastAsia="vi-VN"/>
              </w:rPr>
              <w:t>Số: 66/2016/QĐ-UBND</w:t>
            </w:r>
          </w:p>
        </w:tc>
        <w:tc>
          <w:tcPr>
            <w:tcW w:w="283" w:type="dxa"/>
          </w:tcPr>
          <w:p w:rsidR="004F0607" w:rsidRPr="00F67C75" w:rsidRDefault="004F0607" w:rsidP="00B711E6">
            <w:pPr>
              <w:pStyle w:val="Heading1"/>
              <w:rPr>
                <w:rFonts w:ascii="Times New Roman" w:hAnsi="Times New Roman"/>
                <w:b/>
              </w:rPr>
            </w:pPr>
          </w:p>
        </w:tc>
        <w:tc>
          <w:tcPr>
            <w:tcW w:w="6237" w:type="dxa"/>
          </w:tcPr>
          <w:p w:rsidR="004F0607" w:rsidRPr="00F67C75" w:rsidRDefault="004F0607" w:rsidP="00B711E6">
            <w:pPr>
              <w:pStyle w:val="Heading1"/>
              <w:jc w:val="center"/>
              <w:rPr>
                <w:rFonts w:ascii="Times New Roman" w:hAnsi="Times New Roman"/>
                <w:b/>
              </w:rPr>
            </w:pPr>
            <w:r w:rsidRPr="00F67C75">
              <w:rPr>
                <w:rFonts w:ascii="Times New Roman" w:hAnsi="Times New Roman"/>
                <w:b/>
              </w:rPr>
              <w:t>CỘNG HÒA XÃ HỘI CHỦ NGHĨA VIỆT NAM</w:t>
            </w:r>
          </w:p>
          <w:p w:rsidR="004F0607" w:rsidRPr="00F67C75" w:rsidRDefault="004F0607" w:rsidP="00B711E6">
            <w:pPr>
              <w:jc w:val="center"/>
              <w:rPr>
                <w:b/>
                <w:lang w:eastAsia="vi-VN"/>
              </w:rPr>
            </w:pPr>
            <w:r w:rsidRPr="00F67C75">
              <w:rPr>
                <w:b/>
                <w:lang w:eastAsia="vi-VN"/>
              </w:rPr>
              <w:t>Độc lập - Tự do - Hạnh phúc</w:t>
            </w:r>
          </w:p>
          <w:p w:rsidR="004F0607" w:rsidRPr="00F67C75" w:rsidRDefault="004F0607" w:rsidP="00B711E6">
            <w:pPr>
              <w:rPr>
                <w:sz w:val="18"/>
                <w:lang w:eastAsia="vi-VN"/>
              </w:rPr>
            </w:pPr>
            <w:r w:rsidRPr="00F67C75">
              <w:rPr>
                <w:b/>
                <w:noProof/>
              </w:rPr>
              <w:pict>
                <v:line id="_x0000_s1027" style="position:absolute;z-index:251661312" from="69.7pt,2.25pt" to="236.35pt,2.25pt"/>
              </w:pict>
            </w:r>
            <w:r w:rsidRPr="00F67C75">
              <w:rPr>
                <w:lang w:eastAsia="vi-VN"/>
              </w:rPr>
              <w:t xml:space="preserve"> </w:t>
            </w:r>
          </w:p>
          <w:p w:rsidR="004F0607" w:rsidRPr="00F67C75" w:rsidRDefault="004F0607" w:rsidP="00B711E6">
            <w:pPr>
              <w:jc w:val="center"/>
              <w:rPr>
                <w:i/>
                <w:lang w:eastAsia="vi-VN"/>
              </w:rPr>
            </w:pPr>
            <w:r w:rsidRPr="00F67C75">
              <w:rPr>
                <w:i/>
                <w:lang w:eastAsia="vi-VN"/>
              </w:rPr>
              <w:t>Bến Tre, ngày 21 tháng 12 năm 2016</w:t>
            </w:r>
          </w:p>
        </w:tc>
      </w:tr>
    </w:tbl>
    <w:p w:rsidR="004F0607" w:rsidRPr="00F67C75" w:rsidRDefault="004F0607" w:rsidP="004F0607">
      <w:r w:rsidRPr="00F67C75">
        <w:t xml:space="preserve">  </w:t>
      </w:r>
      <w:r w:rsidRPr="00F67C75">
        <w:tab/>
      </w:r>
      <w:r w:rsidRPr="00F67C75">
        <w:tab/>
      </w:r>
      <w:r w:rsidRPr="00F67C75">
        <w:tab/>
      </w:r>
      <w:r w:rsidRPr="00F67C75">
        <w:tab/>
      </w:r>
    </w:p>
    <w:p w:rsidR="004F0607" w:rsidRPr="00F67C75" w:rsidRDefault="004F0607" w:rsidP="004F0607">
      <w:pPr>
        <w:pStyle w:val="Heading2"/>
        <w:jc w:val="center"/>
      </w:pPr>
      <w:r w:rsidRPr="00F67C75">
        <w:t xml:space="preserve">QUYẾT ĐỊNH </w:t>
      </w:r>
    </w:p>
    <w:p w:rsidR="004F0607" w:rsidRPr="00F67C75" w:rsidRDefault="004F0607" w:rsidP="004F0607">
      <w:pPr>
        <w:pStyle w:val="Heading3"/>
      </w:pPr>
      <w:r w:rsidRPr="00F67C75">
        <w:t>Về việc quy định giá dịch vụ thu gom, vận chuyển, xử lý</w:t>
      </w:r>
    </w:p>
    <w:p w:rsidR="004F0607" w:rsidRPr="00F67C75" w:rsidRDefault="004F0607" w:rsidP="004F0607">
      <w:pPr>
        <w:pStyle w:val="Heading3"/>
      </w:pPr>
      <w:r w:rsidRPr="00F67C75">
        <w:t xml:space="preserve">rác sinh hoạt, sử dụng đò, phà trên địa bàn tỉnh Bến Tre </w:t>
      </w:r>
    </w:p>
    <w:p w:rsidR="004F0607" w:rsidRPr="00F67C75" w:rsidRDefault="004F0607" w:rsidP="004F0607">
      <w:r w:rsidRPr="00F67C75">
        <w:rPr>
          <w:noProof/>
        </w:rPr>
        <w:pict>
          <v:shapetype id="_x0000_t32" coordsize="21600,21600" o:spt="32" o:oned="t" path="m,l21600,21600e" filled="f">
            <v:path arrowok="t" fillok="f" o:connecttype="none"/>
            <o:lock v:ext="edit" shapetype="t"/>
          </v:shapetype>
          <v:shape id="_x0000_s1028" type="#_x0000_t32" style="position:absolute;margin-left:155.25pt;margin-top:4.05pt;width:151.1pt;height:0;z-index:251662336" o:connectortype="straight"/>
        </w:pict>
      </w:r>
      <w:r w:rsidRPr="00F67C75">
        <w:tab/>
      </w:r>
      <w:r w:rsidRPr="00F67C75">
        <w:tab/>
      </w:r>
      <w:r w:rsidRPr="00F67C75">
        <w:tab/>
      </w:r>
      <w:r w:rsidRPr="00F67C75">
        <w:tab/>
      </w:r>
      <w:r w:rsidRPr="00F67C75">
        <w:tab/>
      </w:r>
      <w:r w:rsidRPr="00F67C75">
        <w:tab/>
      </w:r>
      <w:r w:rsidRPr="00F67C75">
        <w:tab/>
      </w:r>
      <w:r w:rsidRPr="00F67C75">
        <w:tab/>
        <w:t xml:space="preserve">   </w:t>
      </w:r>
    </w:p>
    <w:p w:rsidR="004F0607" w:rsidRPr="00F67C75" w:rsidRDefault="004F0607" w:rsidP="004F0607">
      <w:pPr>
        <w:spacing w:before="120"/>
        <w:jc w:val="center"/>
        <w:rPr>
          <w:b/>
        </w:rPr>
      </w:pPr>
      <w:r w:rsidRPr="00F67C75">
        <w:rPr>
          <w:b/>
        </w:rPr>
        <w:t>ỦY BAN NHÂN DÂN TỈNH BẾN TRE</w:t>
      </w:r>
    </w:p>
    <w:p w:rsidR="004F0607" w:rsidRPr="00F67C75" w:rsidRDefault="004F0607" w:rsidP="004F0607">
      <w:pPr>
        <w:spacing w:before="120" w:after="120"/>
        <w:ind w:firstLine="720"/>
        <w:rPr>
          <w:i/>
        </w:rPr>
      </w:pPr>
      <w:r w:rsidRPr="00F67C75">
        <w:rPr>
          <w:i/>
        </w:rPr>
        <w:t>Căn cứ Luật Tổ chức chính quyền địa phương ngày 19 tháng 6 năm 2015;</w:t>
      </w:r>
    </w:p>
    <w:p w:rsidR="004F0607" w:rsidRPr="00F67C75" w:rsidRDefault="004F0607" w:rsidP="004F0607">
      <w:pPr>
        <w:pStyle w:val="BodyTextIndent3"/>
        <w:spacing w:before="120"/>
        <w:ind w:firstLine="720"/>
        <w:rPr>
          <w:i/>
          <w:spacing w:val="-10"/>
        </w:rPr>
      </w:pPr>
      <w:r w:rsidRPr="00F67C75">
        <w:rPr>
          <w:i/>
          <w:spacing w:val="-10"/>
        </w:rPr>
        <w:t>Căn cứ Luật Ban hành văn bản quy phạm pháp luật ngày 22 tháng 6 năm 2015;</w:t>
      </w:r>
    </w:p>
    <w:p w:rsidR="004F0607" w:rsidRPr="00F67C75" w:rsidRDefault="004F0607" w:rsidP="004F0607">
      <w:pPr>
        <w:pStyle w:val="BodyTextIndent2"/>
        <w:spacing w:after="120"/>
        <w:ind w:firstLine="720"/>
        <w:rPr>
          <w:i/>
          <w:szCs w:val="28"/>
        </w:rPr>
      </w:pPr>
      <w:r w:rsidRPr="00F67C75">
        <w:rPr>
          <w:i/>
          <w:szCs w:val="28"/>
        </w:rPr>
        <w:t>Căn cứ Luật Giá ngày 20 tháng 6 năm 2012;</w:t>
      </w:r>
    </w:p>
    <w:p w:rsidR="004F0607" w:rsidRPr="00F67C75" w:rsidRDefault="004F0607" w:rsidP="004F0607">
      <w:pPr>
        <w:pStyle w:val="BodyTextIndent2"/>
        <w:spacing w:after="120"/>
        <w:ind w:firstLine="720"/>
        <w:rPr>
          <w:i/>
          <w:szCs w:val="28"/>
        </w:rPr>
      </w:pPr>
      <w:r w:rsidRPr="00F67C75">
        <w:rPr>
          <w:i/>
          <w:szCs w:val="28"/>
        </w:rPr>
        <w:t>Căn cứ Nghị định số 177/2013/NĐ-CP ngày 14 tháng 11 năm 2013 của Chính phủ quy định chi tiết và hướng dẫn thi hành một số điều của Luật Giá;</w:t>
      </w:r>
    </w:p>
    <w:p w:rsidR="004F0607" w:rsidRPr="00F67C75" w:rsidRDefault="004F0607" w:rsidP="004F0607">
      <w:pPr>
        <w:pStyle w:val="BodyTextIndent2"/>
        <w:spacing w:after="120"/>
        <w:ind w:firstLine="720"/>
        <w:rPr>
          <w:i/>
          <w:szCs w:val="28"/>
        </w:rPr>
      </w:pPr>
      <w:r w:rsidRPr="00F67C75">
        <w:rPr>
          <w:i/>
          <w:szCs w:val="28"/>
        </w:rPr>
        <w:t>Căn cứ Nghị định số 149/2016/NĐ-CP ngày 11 tháng11 năm 2016 của Chính phủ sửa đổi,bổ sung một số điều của Nghị định số 177/2013/NĐ-CP ngày 14 tháng 11 năm 2013 của Chính phủ quy định chi tiết và hướng dẫn thi hành một số điều của Luật Giá;</w:t>
      </w:r>
    </w:p>
    <w:p w:rsidR="004F0607" w:rsidRPr="00F67C75" w:rsidRDefault="004F0607" w:rsidP="004F0607">
      <w:pPr>
        <w:pStyle w:val="BodyTextIndent3"/>
        <w:spacing w:before="120"/>
        <w:ind w:firstLine="720"/>
        <w:rPr>
          <w:i/>
        </w:rPr>
      </w:pPr>
      <w:r w:rsidRPr="00F67C75">
        <w:rPr>
          <w:i/>
        </w:rPr>
        <w:t>Theo đề nghị của Giám đốc Sở Tài chính tại Tờ trình số 5990/TTr-STC ngày 19 tháng 12 năm 2016.</w:t>
      </w:r>
    </w:p>
    <w:p w:rsidR="004F0607" w:rsidRPr="00F67C75" w:rsidRDefault="004F0607" w:rsidP="004F0607">
      <w:pPr>
        <w:spacing w:before="120"/>
        <w:jc w:val="center"/>
        <w:rPr>
          <w:b/>
        </w:rPr>
      </w:pPr>
      <w:r w:rsidRPr="00F67C75">
        <w:rPr>
          <w:b/>
        </w:rPr>
        <w:t>QUYẾT ĐỊNH:</w:t>
      </w:r>
    </w:p>
    <w:p w:rsidR="004F0607" w:rsidRPr="00F67C75" w:rsidRDefault="004F0607" w:rsidP="004F0607">
      <w:pPr>
        <w:spacing w:before="120" w:after="120"/>
        <w:ind w:firstLine="720"/>
        <w:jc w:val="both"/>
        <w:rPr>
          <w:b/>
        </w:rPr>
      </w:pPr>
      <w:r w:rsidRPr="00F67C75">
        <w:rPr>
          <w:b/>
        </w:rPr>
        <w:t>Điều 1. Quy định giá tối đa dịch vụ thu gom, vận chuyển, xử lý rác sinh hoạt</w:t>
      </w:r>
      <w:r w:rsidRPr="00F67C75">
        <w:rPr>
          <w:b/>
          <w:lang w:eastAsia="vi-VN"/>
        </w:rPr>
        <w:t xml:space="preserve"> trên địa bàn tỉnh Bến Tre</w:t>
      </w:r>
    </w:p>
    <w:p w:rsidR="004F0607" w:rsidRPr="00F67C75" w:rsidRDefault="004F0607" w:rsidP="004F0607">
      <w:pPr>
        <w:spacing w:before="120" w:after="120"/>
        <w:ind w:firstLine="720"/>
        <w:jc w:val="both"/>
      </w:pPr>
      <w:r w:rsidRPr="00F67C75">
        <w:t>Quy định giá tối đa dịch vụ thu gom, vận chuyển, xử lý rác sinh hoạt</w:t>
      </w:r>
      <w:r w:rsidRPr="00F67C75">
        <w:rPr>
          <w:lang w:eastAsia="vi-VN"/>
        </w:rPr>
        <w:t xml:space="preserve"> trên địa bàn tỉnh Bến Tre</w:t>
      </w:r>
      <w:r w:rsidRPr="00F67C75">
        <w:t xml:space="preserve"> theo Phụ lục I kèm theo, đã bao gồm thuế giá trị gia tăng. </w:t>
      </w:r>
    </w:p>
    <w:p w:rsidR="004F0607" w:rsidRPr="00F67C75" w:rsidRDefault="004F0607" w:rsidP="004F0607">
      <w:pPr>
        <w:spacing w:before="120" w:after="120"/>
        <w:ind w:firstLine="720"/>
        <w:jc w:val="both"/>
        <w:rPr>
          <w:b/>
          <w:spacing w:val="-6"/>
        </w:rPr>
      </w:pPr>
      <w:r w:rsidRPr="00F67C75">
        <w:rPr>
          <w:b/>
          <w:spacing w:val="-6"/>
        </w:rPr>
        <w:t xml:space="preserve">Điều 2. Quy định giá tối đa dịch vụ sử dụng đò </w:t>
      </w:r>
      <w:r w:rsidRPr="00F67C75">
        <w:rPr>
          <w:b/>
          <w:spacing w:val="-6"/>
          <w:lang w:eastAsia="vi-VN"/>
        </w:rPr>
        <w:t>trên địa bàn tỉnh Bến Tre</w:t>
      </w:r>
    </w:p>
    <w:p w:rsidR="004F0607" w:rsidRPr="00F67C75" w:rsidRDefault="004F0607" w:rsidP="004F0607">
      <w:pPr>
        <w:spacing w:before="120" w:after="120"/>
        <w:ind w:firstLine="720"/>
        <w:jc w:val="both"/>
        <w:rPr>
          <w:b/>
          <w:i/>
          <w:lang w:eastAsia="vi-VN"/>
        </w:rPr>
      </w:pPr>
      <w:r w:rsidRPr="00F67C75">
        <w:rPr>
          <w:lang w:eastAsia="vi-VN"/>
        </w:rPr>
        <w:t xml:space="preserve">1. Quy định </w:t>
      </w:r>
      <w:r w:rsidRPr="00F67C75">
        <w:t>giá tối đa dịch vụ sử dụng</w:t>
      </w:r>
      <w:r w:rsidRPr="00F67C75">
        <w:rPr>
          <w:lang w:eastAsia="vi-VN"/>
        </w:rPr>
        <w:t xml:space="preserve"> đò trên địa bàn tỉnh Bến Tre đối với hành khách và phương tiện tại các bến đò theo Phụ lục II kèm theo, đã bao gồm thuế giá trị gia tăng, chi phí bảo hiểm cho người và phương tiện qua đò.</w:t>
      </w:r>
    </w:p>
    <w:p w:rsidR="004F0607" w:rsidRPr="00F67C75" w:rsidRDefault="004F0607" w:rsidP="004F0607">
      <w:pPr>
        <w:pStyle w:val="NormalWeb"/>
        <w:shd w:val="clear" w:color="auto" w:fill="FFFFFF"/>
        <w:spacing w:before="120" w:beforeAutospacing="0" w:after="120" w:afterAutospacing="0" w:line="225" w:lineRule="atLeast"/>
        <w:ind w:firstLine="720"/>
        <w:jc w:val="both"/>
        <w:rPr>
          <w:sz w:val="28"/>
          <w:szCs w:val="28"/>
        </w:rPr>
      </w:pPr>
      <w:r w:rsidRPr="00F67C75">
        <w:rPr>
          <w:spacing w:val="-4"/>
          <w:sz w:val="28"/>
          <w:szCs w:val="28"/>
          <w:lang w:eastAsia="vi-VN"/>
        </w:rPr>
        <w:t>2. Mức thu tối đa đối với hàng hóa qua đò:</w:t>
      </w:r>
      <w:r w:rsidRPr="00F67C75">
        <w:rPr>
          <w:spacing w:val="-4"/>
          <w:lang w:eastAsia="vi-VN"/>
        </w:rPr>
        <w:t xml:space="preserve"> </w:t>
      </w:r>
      <w:r w:rsidRPr="00F67C75">
        <w:rPr>
          <w:spacing w:val="-4"/>
          <w:sz w:val="28"/>
          <w:szCs w:val="28"/>
        </w:rPr>
        <w:t>Không quá 5.000 đồng/km/50kg hàng hóa. Bến đò ngang có chiều rộng dưới 01km không thu hàng hóa có khối lượng dưới 50kg. Trường hợp hàng hoá cồng kềnh thì mức thu có thể cao hơn, nhưng tối đa không quá 2 lần mức thu đối với hàng hoá thông thường</w:t>
      </w:r>
      <w:r w:rsidRPr="00F67C75">
        <w:rPr>
          <w:sz w:val="28"/>
          <w:szCs w:val="28"/>
        </w:rPr>
        <w:t>.</w:t>
      </w:r>
    </w:p>
    <w:p w:rsidR="004F0607" w:rsidRPr="00F67C75" w:rsidRDefault="004F0607" w:rsidP="004F0607">
      <w:pPr>
        <w:pStyle w:val="NormalWeb"/>
        <w:shd w:val="clear" w:color="auto" w:fill="FFFFFF"/>
        <w:spacing w:before="120" w:beforeAutospacing="0" w:after="120" w:afterAutospacing="0" w:line="225" w:lineRule="atLeast"/>
        <w:ind w:firstLine="720"/>
        <w:jc w:val="both"/>
        <w:rPr>
          <w:sz w:val="28"/>
          <w:szCs w:val="28"/>
          <w:lang w:val="nl-NL"/>
        </w:rPr>
      </w:pPr>
      <w:r w:rsidRPr="00F67C75">
        <w:rPr>
          <w:sz w:val="28"/>
          <w:szCs w:val="28"/>
          <w:lang w:val="nl-NL"/>
        </w:rPr>
        <w:t>3. Đối với đò không theo tuyến cố định: Mức thu do hành khách hoặc chủ hàng thỏa thuận với chủ đò hoặc bến khách cho phù hợp với điều kiện, tình hình cụ thể, nhưng tối đa không quá mức thu quy định sau đây:</w:t>
      </w:r>
    </w:p>
    <w:p w:rsidR="004F0607" w:rsidRPr="00F67C75" w:rsidRDefault="004F0607" w:rsidP="004F0607">
      <w:pPr>
        <w:pStyle w:val="NormalWeb"/>
        <w:shd w:val="clear" w:color="auto" w:fill="FFFFFF"/>
        <w:spacing w:before="120" w:beforeAutospacing="0" w:after="120" w:afterAutospacing="0" w:line="225" w:lineRule="atLeast"/>
        <w:ind w:firstLine="720"/>
        <w:jc w:val="both"/>
        <w:rPr>
          <w:sz w:val="28"/>
          <w:szCs w:val="28"/>
        </w:rPr>
      </w:pPr>
      <w:r w:rsidRPr="00F67C75">
        <w:rPr>
          <w:sz w:val="28"/>
          <w:szCs w:val="28"/>
          <w:lang w:val="nl-NL"/>
        </w:rPr>
        <w:t xml:space="preserve">a) </w:t>
      </w:r>
      <w:r w:rsidRPr="00F67C75">
        <w:rPr>
          <w:sz w:val="28"/>
          <w:szCs w:val="28"/>
        </w:rPr>
        <w:t xml:space="preserve">Không quá 5.000 đồng/km/người, đối với hành khách có đem theo xe đạp, xe máy thì thu thêm không quá 5.000 đồng/km/xe; </w:t>
      </w:r>
    </w:p>
    <w:p w:rsidR="004F0607" w:rsidRPr="00F67C75" w:rsidRDefault="004F0607" w:rsidP="004F0607">
      <w:pPr>
        <w:pStyle w:val="NormalWeb"/>
        <w:shd w:val="clear" w:color="auto" w:fill="FFFFFF"/>
        <w:spacing w:before="120" w:beforeAutospacing="0" w:after="120" w:afterAutospacing="0" w:line="225" w:lineRule="atLeast"/>
        <w:ind w:firstLine="720"/>
        <w:jc w:val="both"/>
        <w:rPr>
          <w:sz w:val="28"/>
          <w:szCs w:val="28"/>
        </w:rPr>
      </w:pPr>
      <w:r w:rsidRPr="00F67C75">
        <w:rPr>
          <w:sz w:val="28"/>
          <w:szCs w:val="28"/>
        </w:rPr>
        <w:lastRenderedPageBreak/>
        <w:t>b) Đối với hàng hóa: Không quá mức thu quy định tại Khoản 2 Điều này.</w:t>
      </w:r>
    </w:p>
    <w:p w:rsidR="004F0607" w:rsidRPr="00F67C75" w:rsidRDefault="004F0607" w:rsidP="004F0607">
      <w:pPr>
        <w:spacing w:before="120" w:after="120"/>
        <w:ind w:firstLine="720"/>
        <w:jc w:val="both"/>
        <w:rPr>
          <w:b/>
          <w:lang w:val="fr-FR"/>
        </w:rPr>
      </w:pPr>
      <w:r w:rsidRPr="00F67C75">
        <w:rPr>
          <w:b/>
        </w:rPr>
        <w:t>Điều 3. Quy định giá tối đa dịch vụ sử dụng phà</w:t>
      </w:r>
      <w:r w:rsidRPr="00F67C75">
        <w:rPr>
          <w:lang w:eastAsia="vi-VN"/>
        </w:rPr>
        <w:t xml:space="preserve"> </w:t>
      </w:r>
      <w:r w:rsidRPr="00F67C75">
        <w:rPr>
          <w:b/>
          <w:lang w:eastAsia="vi-VN"/>
        </w:rPr>
        <w:t>Mỹ An của Công ty TNHH Xây dựng Phúc Thành</w:t>
      </w:r>
    </w:p>
    <w:p w:rsidR="004F0607" w:rsidRPr="00F67C75" w:rsidRDefault="004F0607" w:rsidP="004F0607">
      <w:pPr>
        <w:shd w:val="clear" w:color="auto" w:fill="FFFFFF"/>
        <w:spacing w:before="120" w:after="120" w:line="234" w:lineRule="atLeast"/>
        <w:ind w:firstLine="720"/>
        <w:jc w:val="both"/>
      </w:pPr>
      <w:r w:rsidRPr="00F67C75">
        <w:t>Quy định giá tối đa dịch vụ sử dụng phà</w:t>
      </w:r>
      <w:r w:rsidRPr="00F67C75">
        <w:rPr>
          <w:lang w:eastAsia="vi-VN"/>
        </w:rPr>
        <w:t xml:space="preserve"> Mỹ An</w:t>
      </w:r>
      <w:r w:rsidRPr="00F67C75">
        <w:rPr>
          <w:b/>
          <w:lang w:eastAsia="vi-VN"/>
        </w:rPr>
        <w:t xml:space="preserve"> </w:t>
      </w:r>
      <w:r w:rsidRPr="00F67C75">
        <w:t>cho từng đối tượng</w:t>
      </w:r>
      <w:r w:rsidRPr="00F67C75">
        <w:rPr>
          <w:lang w:eastAsia="vi-VN"/>
        </w:rPr>
        <w:t xml:space="preserve"> theo Phụ lục III kèm theo, đã bao gồm thuế giá trị gia tăng, chi phí bảo hiểm cho người và phương tiện qua phà</w:t>
      </w:r>
      <w:r w:rsidRPr="00F67C75">
        <w:t>.</w:t>
      </w:r>
    </w:p>
    <w:p w:rsidR="004F0607" w:rsidRPr="00F67C75" w:rsidRDefault="004F0607" w:rsidP="004F0607">
      <w:pPr>
        <w:spacing w:before="120" w:after="120"/>
        <w:ind w:firstLine="720"/>
        <w:jc w:val="both"/>
        <w:rPr>
          <w:b/>
        </w:rPr>
      </w:pPr>
      <w:r w:rsidRPr="00F67C75">
        <w:rPr>
          <w:b/>
        </w:rPr>
        <w:t>Điều 4. Quy định giá tối đa dịch vụ</w:t>
      </w:r>
      <w:r w:rsidRPr="00F67C75">
        <w:t xml:space="preserve"> </w:t>
      </w:r>
      <w:r w:rsidRPr="00F67C75">
        <w:rPr>
          <w:b/>
        </w:rPr>
        <w:t>sử dụng phà Phước An</w:t>
      </w:r>
      <w:r w:rsidRPr="00F67C75">
        <w:t xml:space="preserve"> </w:t>
      </w:r>
      <w:r w:rsidRPr="00F67C75">
        <w:rPr>
          <w:b/>
        </w:rPr>
        <w:t xml:space="preserve">huyện Chợ Lách </w:t>
      </w:r>
    </w:p>
    <w:p w:rsidR="004F0607" w:rsidRPr="00F67C75" w:rsidRDefault="004F0607" w:rsidP="004F0607">
      <w:pPr>
        <w:shd w:val="clear" w:color="auto" w:fill="FFFFFF"/>
        <w:spacing w:before="120" w:after="120" w:line="234" w:lineRule="atLeast"/>
        <w:ind w:firstLine="720"/>
        <w:jc w:val="both"/>
      </w:pPr>
      <w:r w:rsidRPr="00F67C75">
        <w:t>Quy định giá tối đa dịch vụ sử dụng phà</w:t>
      </w:r>
      <w:r w:rsidRPr="00F67C75">
        <w:rPr>
          <w:lang w:eastAsia="vi-VN"/>
        </w:rPr>
        <w:t xml:space="preserve"> Phước An</w:t>
      </w:r>
      <w:r w:rsidRPr="00F67C75">
        <w:rPr>
          <w:b/>
          <w:lang w:eastAsia="vi-VN"/>
        </w:rPr>
        <w:t xml:space="preserve"> </w:t>
      </w:r>
      <w:r w:rsidRPr="00F67C75">
        <w:t>cho từng đối tượng</w:t>
      </w:r>
      <w:r w:rsidRPr="00F67C75">
        <w:rPr>
          <w:lang w:eastAsia="vi-VN"/>
        </w:rPr>
        <w:t xml:space="preserve"> theo Phụ lục IV kèm theo, đã bao gồm thuế giá trị gia tăng, chi phí bảo hiểm cho người và phương tiện qua phà</w:t>
      </w:r>
      <w:r w:rsidRPr="00F67C75">
        <w:t>.</w:t>
      </w:r>
    </w:p>
    <w:p w:rsidR="004F0607" w:rsidRPr="00F67C75" w:rsidRDefault="004F0607" w:rsidP="004F0607">
      <w:pPr>
        <w:spacing w:before="120" w:after="120"/>
        <w:ind w:firstLine="720"/>
        <w:jc w:val="both"/>
        <w:rPr>
          <w:b/>
        </w:rPr>
      </w:pPr>
      <w:r w:rsidRPr="00F67C75">
        <w:rPr>
          <w:b/>
        </w:rPr>
        <w:t>Điều 5. Quy định giá dịch vụ sử dụng các phà trực thuộc Trung tâm Quản lý Phà và Bến xe Bến Tre</w:t>
      </w:r>
    </w:p>
    <w:p w:rsidR="004F0607" w:rsidRPr="00F67C75" w:rsidRDefault="004F0607" w:rsidP="004F0607">
      <w:pPr>
        <w:shd w:val="clear" w:color="auto" w:fill="FFFFFF"/>
        <w:spacing w:before="120" w:after="120" w:line="234" w:lineRule="atLeast"/>
        <w:ind w:firstLine="720"/>
        <w:jc w:val="both"/>
      </w:pPr>
      <w:r w:rsidRPr="00F67C75">
        <w:t>1. Quy định giá dịch vụ sử dụng các phà trực thuộc Trung tâm Quản lý Phà và Bến xe cho từng đối tượng</w:t>
      </w:r>
      <w:r w:rsidRPr="00F67C75">
        <w:rPr>
          <w:lang w:eastAsia="vi-VN"/>
        </w:rPr>
        <w:t xml:space="preserve"> theo Phụ lục V kèm theo, đã bao gồm thuế giá trị gia tăng, chi phí bảo hiểm cho người và phương tiện qua phà</w:t>
      </w:r>
      <w:r w:rsidRPr="00F67C75">
        <w:t>.</w:t>
      </w:r>
    </w:p>
    <w:p w:rsidR="004F0607" w:rsidRPr="00F67C75" w:rsidRDefault="004F0607" w:rsidP="004F0607">
      <w:pPr>
        <w:shd w:val="clear" w:color="auto" w:fill="FFFFFF"/>
        <w:spacing w:before="120" w:after="120" w:line="234" w:lineRule="atLeast"/>
        <w:ind w:firstLine="720"/>
        <w:jc w:val="both"/>
      </w:pPr>
      <w:r w:rsidRPr="00F67C75">
        <w:t>2. Đối tượng miễn thu: Xe cứu thương và các loại xe khác chở người bị nạn đến nơi cấp cứu.</w:t>
      </w:r>
    </w:p>
    <w:p w:rsidR="004F0607" w:rsidRPr="00F67C75" w:rsidRDefault="004F0607" w:rsidP="004F0607">
      <w:pPr>
        <w:pStyle w:val="Heading3"/>
        <w:spacing w:before="120" w:after="120"/>
        <w:ind w:firstLine="720"/>
        <w:jc w:val="both"/>
      </w:pPr>
      <w:r w:rsidRPr="00F67C75">
        <w:rPr>
          <w:lang w:val="fr-FR"/>
        </w:rPr>
        <w:t>Điều 6. Q</w:t>
      </w:r>
      <w:r w:rsidRPr="00F67C75">
        <w:t>uản lý, sử dụng giá dịch vụ thu gom, vận chuyển, xử lý rác sinh hoạt, sử dụng đò, sử dụng các phà: Mỹ An, Phước An và Trung tâm Quản lý Phà và Bến xe Bến Tre</w:t>
      </w:r>
    </w:p>
    <w:p w:rsidR="004F0607" w:rsidRPr="00F67C75" w:rsidRDefault="004F0607" w:rsidP="004F0607">
      <w:pPr>
        <w:spacing w:before="120" w:after="120"/>
        <w:ind w:firstLine="720"/>
        <w:jc w:val="both"/>
      </w:pPr>
      <w:r w:rsidRPr="00F67C75">
        <w:rPr>
          <w:lang w:eastAsia="vi-VN"/>
        </w:rPr>
        <w:t xml:space="preserve">1. Tiền thu được xác định là doanh thu của tổ chức, cá nhân thu. Tổ chức, cá nhân thực hiện </w:t>
      </w:r>
      <w:r w:rsidRPr="00F67C75">
        <w:rPr>
          <w:bCs/>
          <w:lang w:val="nl-NL"/>
        </w:rPr>
        <w:t>chính sách</w:t>
      </w:r>
      <w:r w:rsidRPr="00F67C75">
        <w:rPr>
          <w:lang w:eastAsia="vi-VN"/>
        </w:rPr>
        <w:t xml:space="preserve"> thuế theo quy định của pháp luật.</w:t>
      </w:r>
      <w:r w:rsidRPr="00F67C75">
        <w:t xml:space="preserve"> </w:t>
      </w:r>
    </w:p>
    <w:p w:rsidR="004F0607" w:rsidRPr="00F67C75" w:rsidRDefault="004F0607" w:rsidP="004F0607">
      <w:pPr>
        <w:spacing w:before="120" w:after="120"/>
        <w:ind w:firstLine="720"/>
        <w:jc w:val="both"/>
      </w:pPr>
      <w:r w:rsidRPr="00F67C75">
        <w:t>Trường hợp đối với xã, phường thực hiện xã hội hóa dịch vụ thu gom, vận chuyển rác sinh hoạt mà thu không đủ bù đắp chi phí thì có phương án chuyển đổi hoặc xây dựng mức giá theo lộ trình, ngân sách sẽ không hỗ trợ từ 01 tháng 01 năm 2018.</w:t>
      </w:r>
    </w:p>
    <w:p w:rsidR="004F0607" w:rsidRPr="00F67C75" w:rsidRDefault="004F0607" w:rsidP="004F0607">
      <w:pPr>
        <w:spacing w:before="120" w:after="120"/>
        <w:ind w:firstLine="720"/>
        <w:jc w:val="both"/>
        <w:rPr>
          <w:lang w:eastAsia="vi-VN"/>
        </w:rPr>
      </w:pPr>
      <w:r w:rsidRPr="00F67C75">
        <w:t>2. Giao cho Ủy ban nhân dân các huyện, thành phố quản lý nhà nước đối với các bến đò, bến phà trên địa bàn của mình trong quá trình thực hiện Quyết định này.</w:t>
      </w:r>
    </w:p>
    <w:p w:rsidR="004F0607" w:rsidRPr="00F67C75" w:rsidRDefault="004F0607" w:rsidP="004F0607">
      <w:pPr>
        <w:spacing w:before="120" w:after="120"/>
        <w:ind w:firstLine="720"/>
        <w:jc w:val="both"/>
        <w:rPr>
          <w:b/>
          <w:lang w:val="fr-FR"/>
        </w:rPr>
      </w:pPr>
      <w:r w:rsidRPr="00F67C75">
        <w:rPr>
          <w:b/>
          <w:lang w:val="fr-FR"/>
        </w:rPr>
        <w:t>Điều 7. Điều khoản thi hành</w:t>
      </w:r>
    </w:p>
    <w:p w:rsidR="004F0607" w:rsidRPr="00F67C75" w:rsidRDefault="004F0607" w:rsidP="004F0607">
      <w:pPr>
        <w:spacing w:before="120" w:after="120"/>
        <w:ind w:firstLine="720"/>
        <w:jc w:val="both"/>
        <w:rPr>
          <w:lang w:val="fr-FR"/>
        </w:rPr>
      </w:pPr>
      <w:r w:rsidRPr="00F67C75">
        <w:rPr>
          <w:lang w:val="fr-FR"/>
        </w:rPr>
        <w:t xml:space="preserve">1. Chánh Văn phòng Ủy ban nhân dân tỉnh; Giám đốc các Sở: Tài chính, Giao thông vận tải; Cục trưởng Cục thuế tỉnh; Chủ tịch Ủy ban nhân dân các huyện, thành phố; </w:t>
      </w:r>
      <w:r w:rsidRPr="00F67C75">
        <w:t xml:space="preserve">Chủ các bến đò; </w:t>
      </w:r>
      <w:r w:rsidRPr="00F67C75">
        <w:rPr>
          <w:lang w:val="fr-FR"/>
        </w:rPr>
        <w:t xml:space="preserve">Giám đốc </w:t>
      </w:r>
      <w:r w:rsidRPr="00F67C75">
        <w:rPr>
          <w:lang w:eastAsia="vi-VN"/>
        </w:rPr>
        <w:t xml:space="preserve">Công ty TNHH Xây dựng Phúc Thành; </w:t>
      </w:r>
      <w:r w:rsidRPr="00F67C75">
        <w:t xml:space="preserve">Chủ Bến phà Phước An; </w:t>
      </w:r>
      <w:r w:rsidRPr="00F67C75">
        <w:rPr>
          <w:lang w:val="fr-FR"/>
        </w:rPr>
        <w:t>Giám đốc</w:t>
      </w:r>
      <w:r w:rsidRPr="00F67C75">
        <w:rPr>
          <w:b/>
        </w:rPr>
        <w:t xml:space="preserve"> </w:t>
      </w:r>
      <w:r w:rsidRPr="00F67C75">
        <w:t xml:space="preserve">Trung tâm Quản lý Phà và Bến xe Bến Tre; </w:t>
      </w:r>
      <w:r w:rsidRPr="00F67C75">
        <w:rPr>
          <w:lang w:val="fr-FR"/>
        </w:rPr>
        <w:t>các tổ chức và cá nhân có liên quan chịu trách nhiệm thi hành Quyết định này.</w:t>
      </w:r>
    </w:p>
    <w:p w:rsidR="004F0607" w:rsidRPr="00F67C75" w:rsidRDefault="004F0607" w:rsidP="004F0607">
      <w:pPr>
        <w:spacing w:before="120" w:after="120"/>
        <w:ind w:firstLine="720"/>
        <w:jc w:val="both"/>
        <w:rPr>
          <w:lang w:val="fr-FR"/>
        </w:rPr>
      </w:pPr>
      <w:r w:rsidRPr="00F67C75">
        <w:rPr>
          <w:lang w:val="fr-FR"/>
        </w:rPr>
        <w:t>2. Thủ trưởng cơ quan, đơn vị thực hiện quy định giá cụ thể theo quy định kèm theo Quyết định này.</w:t>
      </w:r>
    </w:p>
    <w:p w:rsidR="004F0607" w:rsidRPr="00F67C75" w:rsidRDefault="004F0607" w:rsidP="004F0607">
      <w:pPr>
        <w:spacing w:before="120" w:after="120"/>
        <w:ind w:firstLine="720"/>
        <w:jc w:val="both"/>
        <w:rPr>
          <w:lang w:val="fr-FR"/>
        </w:rPr>
      </w:pPr>
      <w:r w:rsidRPr="00F67C75">
        <w:rPr>
          <w:lang w:val="fr-FR"/>
        </w:rPr>
        <w:t xml:space="preserve">3. Quyết định này thay thế các Quyết định: </w:t>
      </w:r>
    </w:p>
    <w:p w:rsidR="004F0607" w:rsidRPr="00F67C75" w:rsidRDefault="004F0607" w:rsidP="004F0607">
      <w:pPr>
        <w:spacing w:before="120" w:after="120"/>
        <w:ind w:firstLine="720"/>
        <w:jc w:val="both"/>
        <w:rPr>
          <w:lang w:val="fr-FR"/>
        </w:rPr>
      </w:pPr>
      <w:r w:rsidRPr="00F67C75">
        <w:rPr>
          <w:lang w:val="fr-FR"/>
        </w:rPr>
        <w:lastRenderedPageBreak/>
        <w:t xml:space="preserve">a) Quyết định số 17/2011/QĐ-UBND ngày 27 tháng 7 năm 2011 của Ủy ban nhân dân tỉnh về quy định mức phí qua các phà trực thuộc </w:t>
      </w:r>
      <w:r w:rsidRPr="00F67C75">
        <w:t>Trung tâm Quản lý Phà và Bến xe Bến Tre</w:t>
      </w:r>
      <w:r w:rsidRPr="00F67C75">
        <w:rPr>
          <w:lang w:val="fr-FR"/>
        </w:rPr>
        <w:t>;</w:t>
      </w:r>
    </w:p>
    <w:p w:rsidR="004F0607" w:rsidRPr="00F67C75" w:rsidRDefault="004F0607" w:rsidP="004F0607">
      <w:pPr>
        <w:shd w:val="clear" w:color="auto" w:fill="FFFFFF"/>
        <w:spacing w:before="120" w:after="120" w:line="234" w:lineRule="atLeast"/>
        <w:ind w:firstLine="720"/>
        <w:jc w:val="both"/>
        <w:rPr>
          <w:lang w:val="fr-FR"/>
        </w:rPr>
      </w:pPr>
      <w:r w:rsidRPr="00F67C75">
        <w:rPr>
          <w:lang w:val="fr-FR"/>
        </w:rPr>
        <w:t>b) Quyết định số 21/2011/QĐ-UBND ngày 10 tháng 8 năm 2011 của Ủy ban nhân dân tỉnh về quy định mức thu, quản lý và sử dụng phí vệ sinh trên địa bàn tỉnh Bến Tre;</w:t>
      </w:r>
    </w:p>
    <w:p w:rsidR="004F0607" w:rsidRPr="00F67C75" w:rsidRDefault="004F0607" w:rsidP="004F0607">
      <w:pPr>
        <w:spacing w:before="120" w:after="120"/>
        <w:ind w:firstLine="720"/>
        <w:jc w:val="both"/>
        <w:rPr>
          <w:lang w:val="fr-FR"/>
        </w:rPr>
      </w:pPr>
      <w:r w:rsidRPr="00F67C75">
        <w:t xml:space="preserve">c) </w:t>
      </w:r>
      <w:r w:rsidRPr="00F67C75">
        <w:rPr>
          <w:lang w:val="fr-FR"/>
        </w:rPr>
        <w:t>Quyết định số 23/2012/QĐ-UBND ngày 21 tháng 8 năm 2012 của Ủy ban nhân dân tỉnh về việc quy định mức phí qua phà Mỹ An;</w:t>
      </w:r>
    </w:p>
    <w:p w:rsidR="004F0607" w:rsidRPr="00F67C75" w:rsidRDefault="004F0607" w:rsidP="004F0607">
      <w:pPr>
        <w:spacing w:before="120" w:after="120"/>
        <w:ind w:firstLine="720"/>
        <w:jc w:val="both"/>
      </w:pPr>
      <w:r w:rsidRPr="00F67C75">
        <w:rPr>
          <w:spacing w:val="-2"/>
          <w:lang w:val="fr-FR"/>
        </w:rPr>
        <w:t xml:space="preserve">d) Quyết định số 37/2012/QĐ-UBND ngày 28 tháng 12 năm 2012 của Ủy ban nhân dân tỉnh về việc bổ sung Quy định mức thu phí qua phà đối với hành khách đi xe đạp, xe gắn máy và mô tô mua vé tháng tại Quyết định số 17/2011/QĐ-UBND ngày 27 tháng 7 năm 2011 của Ủy ban nhân dân tỉnh về quy định mức phí qua các phà trực thuộc </w:t>
      </w:r>
      <w:r w:rsidRPr="00F67C75">
        <w:rPr>
          <w:spacing w:val="-2"/>
        </w:rPr>
        <w:t>Trung tâm Quản lý Phà và Bến xe Bến Tre</w:t>
      </w:r>
      <w:r w:rsidRPr="00F67C75">
        <w:t>.</w:t>
      </w:r>
    </w:p>
    <w:p w:rsidR="004F0607" w:rsidRPr="00F67C75" w:rsidRDefault="004F0607" w:rsidP="004F0607">
      <w:pPr>
        <w:spacing w:before="120" w:after="120"/>
        <w:ind w:firstLine="720"/>
        <w:jc w:val="both"/>
        <w:rPr>
          <w:lang w:val="fr-FR"/>
        </w:rPr>
      </w:pPr>
      <w:r w:rsidRPr="00F67C75">
        <w:rPr>
          <w:lang w:val="fr-FR"/>
        </w:rPr>
        <w:t>4. Quyết định này có hiệu lực kể từ ngày 01 tháng 01 năm 2017./.</w:t>
      </w:r>
    </w:p>
    <w:p w:rsidR="004F0607" w:rsidRPr="00F67C75" w:rsidRDefault="004F0607" w:rsidP="004F0607">
      <w:pPr>
        <w:spacing w:before="120" w:after="120"/>
        <w:ind w:firstLine="720"/>
        <w:jc w:val="both"/>
        <w:rPr>
          <w:sz w:val="10"/>
          <w:lang w:val="fr-FR"/>
        </w:rPr>
      </w:pPr>
      <w:r w:rsidRPr="00F67C75">
        <w:rPr>
          <w:lang w:val="fr-FR"/>
        </w:rPr>
        <w:t xml:space="preserve"> </w:t>
      </w:r>
    </w:p>
    <w:tbl>
      <w:tblPr>
        <w:tblW w:w="0" w:type="auto"/>
        <w:tblLook w:val="04A0"/>
      </w:tblPr>
      <w:tblGrid>
        <w:gridCol w:w="4829"/>
        <w:gridCol w:w="4742"/>
      </w:tblGrid>
      <w:tr w:rsidR="004F0607" w:rsidRPr="00F67C75" w:rsidTr="00B711E6">
        <w:tc>
          <w:tcPr>
            <w:tcW w:w="4927" w:type="dxa"/>
            <w:shd w:val="clear" w:color="auto" w:fill="auto"/>
          </w:tcPr>
          <w:p w:rsidR="004F0607" w:rsidRPr="00F67C75" w:rsidRDefault="004F0607" w:rsidP="00B711E6">
            <w:pPr>
              <w:spacing w:before="120" w:after="120"/>
              <w:jc w:val="both"/>
              <w:rPr>
                <w:lang w:val="fr-FR"/>
              </w:rPr>
            </w:pPr>
          </w:p>
        </w:tc>
        <w:tc>
          <w:tcPr>
            <w:tcW w:w="4820" w:type="dxa"/>
            <w:shd w:val="clear" w:color="auto" w:fill="auto"/>
          </w:tcPr>
          <w:p w:rsidR="004F0607" w:rsidRPr="00F67C75" w:rsidRDefault="004F0607" w:rsidP="00B711E6">
            <w:pPr>
              <w:jc w:val="center"/>
              <w:rPr>
                <w:b/>
              </w:rPr>
            </w:pPr>
            <w:r w:rsidRPr="00F67C75">
              <w:rPr>
                <w:b/>
              </w:rPr>
              <w:t>TM. ỦY BAN NHÂN DÂN</w:t>
            </w:r>
          </w:p>
          <w:p w:rsidR="004F0607" w:rsidRPr="00F67C75" w:rsidRDefault="004F0607" w:rsidP="00B711E6">
            <w:pPr>
              <w:jc w:val="center"/>
              <w:rPr>
                <w:b/>
              </w:rPr>
            </w:pPr>
            <w:r w:rsidRPr="00F67C75">
              <w:rPr>
                <w:b/>
              </w:rPr>
              <w:t>CHỦ TỊCH</w:t>
            </w:r>
          </w:p>
          <w:p w:rsidR="004F0607" w:rsidRPr="00F67C75" w:rsidRDefault="004F0607" w:rsidP="00B711E6">
            <w:pPr>
              <w:jc w:val="center"/>
              <w:rPr>
                <w:b/>
                <w:sz w:val="34"/>
              </w:rPr>
            </w:pPr>
          </w:p>
          <w:p w:rsidR="004F0607" w:rsidRPr="00F67C75" w:rsidRDefault="004F0607" w:rsidP="00B711E6">
            <w:pPr>
              <w:jc w:val="center"/>
              <w:rPr>
                <w:lang w:val="fr-FR"/>
              </w:rPr>
            </w:pPr>
            <w:r w:rsidRPr="00F67C75">
              <w:rPr>
                <w:b/>
              </w:rPr>
              <w:t>Cao Văn Trọng</w:t>
            </w:r>
          </w:p>
        </w:tc>
      </w:tr>
    </w:tbl>
    <w:p w:rsidR="004F0607" w:rsidRPr="00F67C75" w:rsidRDefault="004F0607" w:rsidP="004F0607">
      <w:pPr>
        <w:spacing w:before="120" w:after="120"/>
        <w:ind w:firstLine="720"/>
        <w:jc w:val="both"/>
        <w:rPr>
          <w:lang w:val="fr-FR"/>
        </w:rPr>
      </w:pPr>
    </w:p>
    <w:p w:rsidR="004F0607" w:rsidRPr="00F67C75" w:rsidRDefault="004F0607" w:rsidP="004F0607">
      <w:pPr>
        <w:spacing w:before="120"/>
        <w:jc w:val="both"/>
        <w:rPr>
          <w:sz w:val="14"/>
        </w:rPr>
      </w:pPr>
      <w:r w:rsidRPr="00F67C75">
        <w:t xml:space="preserve"> </w:t>
      </w: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rPr>
          <w:b/>
          <w:sz w:val="26"/>
          <w:szCs w:val="26"/>
          <w:lang w:eastAsia="vi-VN"/>
        </w:rPr>
      </w:pPr>
    </w:p>
    <w:p w:rsidR="004F0607" w:rsidRPr="00F67C75" w:rsidRDefault="004F0607" w:rsidP="004F0607">
      <w:pPr>
        <w:jc w:val="center"/>
        <w:rPr>
          <w:b/>
          <w:sz w:val="26"/>
          <w:szCs w:val="26"/>
          <w:lang w:eastAsia="vi-VN"/>
        </w:rPr>
      </w:pPr>
      <w:r w:rsidRPr="00F67C75">
        <w:rPr>
          <w:b/>
          <w:sz w:val="26"/>
          <w:szCs w:val="26"/>
          <w:lang w:eastAsia="vi-VN"/>
        </w:rPr>
        <w:lastRenderedPageBreak/>
        <w:t>Phụ lục I</w:t>
      </w:r>
    </w:p>
    <w:p w:rsidR="004F0607" w:rsidRPr="00F67C75" w:rsidRDefault="004F0607" w:rsidP="004F0607">
      <w:pPr>
        <w:jc w:val="center"/>
        <w:rPr>
          <w:b/>
          <w:sz w:val="26"/>
          <w:szCs w:val="26"/>
          <w:lang w:eastAsia="vi-VN"/>
        </w:rPr>
      </w:pPr>
      <w:r w:rsidRPr="00F67C75">
        <w:rPr>
          <w:b/>
          <w:sz w:val="26"/>
          <w:szCs w:val="26"/>
          <w:lang w:eastAsia="vi-VN"/>
        </w:rPr>
        <w:t xml:space="preserve">GIÁ TỐI ĐA DỊCH VỤ THU GOM, VẬN CHUYỂN, </w:t>
      </w:r>
    </w:p>
    <w:p w:rsidR="004F0607" w:rsidRPr="00F67C75" w:rsidRDefault="004F0607" w:rsidP="004F0607">
      <w:pPr>
        <w:jc w:val="center"/>
        <w:rPr>
          <w:b/>
          <w:sz w:val="26"/>
          <w:szCs w:val="26"/>
          <w:lang w:eastAsia="vi-VN"/>
        </w:rPr>
      </w:pPr>
      <w:r w:rsidRPr="00F67C75">
        <w:rPr>
          <w:b/>
          <w:sz w:val="26"/>
          <w:szCs w:val="26"/>
          <w:lang w:eastAsia="vi-VN"/>
        </w:rPr>
        <w:t>XỬ LÝ RÁC SINH HOẠT TRÊN ĐỊA BÀN TỈNH BẾN TRE</w:t>
      </w:r>
    </w:p>
    <w:p w:rsidR="004F0607" w:rsidRPr="00F67C75" w:rsidRDefault="004F0607" w:rsidP="004F0607">
      <w:pPr>
        <w:jc w:val="center"/>
        <w:rPr>
          <w:i/>
          <w:sz w:val="26"/>
          <w:szCs w:val="26"/>
          <w:lang w:eastAsia="vi-VN"/>
        </w:rPr>
      </w:pPr>
      <w:r w:rsidRPr="00F67C75">
        <w:rPr>
          <w:i/>
          <w:sz w:val="26"/>
          <w:szCs w:val="26"/>
          <w:lang w:eastAsia="vi-VN"/>
        </w:rPr>
        <w:t xml:space="preserve">(Ban hành kèm theo Quyết định số 66/2016/QĐ-UBND  </w:t>
      </w:r>
    </w:p>
    <w:p w:rsidR="004F0607" w:rsidRPr="00F67C75" w:rsidRDefault="004F0607" w:rsidP="004F0607">
      <w:pPr>
        <w:jc w:val="center"/>
        <w:rPr>
          <w:i/>
          <w:sz w:val="26"/>
          <w:szCs w:val="26"/>
          <w:lang w:eastAsia="vi-VN"/>
        </w:rPr>
      </w:pPr>
      <w:r w:rsidRPr="00F67C75">
        <w:rPr>
          <w:i/>
          <w:sz w:val="26"/>
          <w:szCs w:val="26"/>
          <w:lang w:eastAsia="vi-VN"/>
        </w:rPr>
        <w:t>ngày 21 tháng 12 năm 2016 của Ủy ban nhân dân tỉnh)</w:t>
      </w:r>
    </w:p>
    <w:p w:rsidR="004F0607" w:rsidRPr="00F67C75" w:rsidRDefault="004F0607" w:rsidP="004F0607">
      <w:pPr>
        <w:jc w:val="center"/>
        <w:rPr>
          <w:i/>
          <w:sz w:val="26"/>
          <w:szCs w:val="26"/>
          <w:lang w:eastAsia="vi-VN"/>
        </w:rPr>
      </w:pPr>
      <w:r w:rsidRPr="00F67C75">
        <w:rPr>
          <w:i/>
          <w:noProof/>
          <w:sz w:val="26"/>
          <w:szCs w:val="26"/>
        </w:rPr>
        <w:pict>
          <v:shape id="_x0000_s1029" type="#_x0000_t32" style="position:absolute;left:0;text-align:left;margin-left:181.6pt;margin-top:4.25pt;width:127.7pt;height:0;z-index:251663360" o:connectortype="straight"/>
        </w:pict>
      </w:r>
    </w:p>
    <w:p w:rsidR="004F0607" w:rsidRPr="00F67C75" w:rsidRDefault="004F0607" w:rsidP="004F0607">
      <w:pPr>
        <w:rPr>
          <w:b/>
          <w:sz w:val="26"/>
          <w:szCs w:val="26"/>
          <w:lang w:eastAsia="vi-VN"/>
        </w:rPr>
      </w:pPr>
    </w:p>
    <w:tbl>
      <w:tblPr>
        <w:tblW w:w="9654" w:type="dxa"/>
        <w:tblInd w:w="93" w:type="dxa"/>
        <w:tblLook w:val="04A0"/>
      </w:tblPr>
      <w:tblGrid>
        <w:gridCol w:w="537"/>
        <w:gridCol w:w="4298"/>
        <w:gridCol w:w="1963"/>
        <w:gridCol w:w="1580"/>
        <w:gridCol w:w="1276"/>
      </w:tblGrid>
      <w:tr w:rsidR="004F0607" w:rsidRPr="00F67C75" w:rsidTr="00B711E6">
        <w:trPr>
          <w:trHeight w:val="322"/>
          <w:tblHeader/>
        </w:trPr>
        <w:tc>
          <w:tcPr>
            <w:tcW w:w="537" w:type="dxa"/>
            <w:vMerge w:val="restart"/>
            <w:tcBorders>
              <w:top w:val="single" w:sz="4" w:space="0" w:color="auto"/>
              <w:left w:val="single" w:sz="4" w:space="0" w:color="auto"/>
              <w:bottom w:val="nil"/>
              <w:right w:val="single" w:sz="4" w:space="0" w:color="auto"/>
            </w:tcBorders>
            <w:shd w:val="clear" w:color="000000" w:fill="FFFFFF"/>
            <w:vAlign w:val="center"/>
            <w:hideMark/>
          </w:tcPr>
          <w:p w:rsidR="004F0607" w:rsidRPr="00F67C75" w:rsidRDefault="004F0607" w:rsidP="00B711E6">
            <w:pPr>
              <w:jc w:val="center"/>
              <w:rPr>
                <w:b/>
                <w:bCs/>
                <w:sz w:val="24"/>
              </w:rPr>
            </w:pPr>
            <w:r w:rsidRPr="00F67C75">
              <w:rPr>
                <w:b/>
                <w:bCs/>
                <w:sz w:val="24"/>
              </w:rPr>
              <w:t>Số TT</w:t>
            </w:r>
          </w:p>
        </w:tc>
        <w:tc>
          <w:tcPr>
            <w:tcW w:w="4298" w:type="dxa"/>
            <w:vMerge w:val="restart"/>
            <w:tcBorders>
              <w:top w:val="single" w:sz="4" w:space="0" w:color="auto"/>
              <w:left w:val="single" w:sz="4" w:space="0" w:color="auto"/>
              <w:bottom w:val="nil"/>
              <w:right w:val="single" w:sz="4" w:space="0" w:color="auto"/>
            </w:tcBorders>
            <w:shd w:val="clear" w:color="000000" w:fill="FFFFFF"/>
            <w:vAlign w:val="center"/>
            <w:hideMark/>
          </w:tcPr>
          <w:p w:rsidR="004F0607" w:rsidRPr="00F67C75" w:rsidRDefault="004F0607" w:rsidP="00B711E6">
            <w:pPr>
              <w:jc w:val="center"/>
              <w:rPr>
                <w:b/>
                <w:bCs/>
                <w:sz w:val="24"/>
              </w:rPr>
            </w:pPr>
            <w:r w:rsidRPr="00F67C75">
              <w:rPr>
                <w:b/>
                <w:bCs/>
                <w:sz w:val="24"/>
              </w:rPr>
              <w:t>Đối tượng thu</w:t>
            </w:r>
          </w:p>
        </w:tc>
        <w:tc>
          <w:tcPr>
            <w:tcW w:w="1963" w:type="dxa"/>
            <w:vMerge w:val="restart"/>
            <w:tcBorders>
              <w:top w:val="single" w:sz="4" w:space="0" w:color="auto"/>
              <w:left w:val="single" w:sz="4" w:space="0" w:color="auto"/>
              <w:bottom w:val="nil"/>
              <w:right w:val="single" w:sz="4" w:space="0" w:color="auto"/>
            </w:tcBorders>
            <w:shd w:val="clear" w:color="000000" w:fill="FFFFFF"/>
            <w:vAlign w:val="center"/>
            <w:hideMark/>
          </w:tcPr>
          <w:p w:rsidR="004F0607" w:rsidRPr="00F67C75" w:rsidRDefault="004F0607" w:rsidP="00B711E6">
            <w:pPr>
              <w:jc w:val="center"/>
              <w:rPr>
                <w:b/>
                <w:bCs/>
                <w:sz w:val="24"/>
              </w:rPr>
            </w:pPr>
            <w:r w:rsidRPr="00F67C75">
              <w:rPr>
                <w:b/>
                <w:bCs/>
                <w:sz w:val="24"/>
              </w:rPr>
              <w:t>Đơn vị tính</w:t>
            </w:r>
          </w:p>
        </w:tc>
        <w:tc>
          <w:tcPr>
            <w:tcW w:w="2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F0607" w:rsidRPr="00F67C75" w:rsidRDefault="004F0607" w:rsidP="00B711E6">
            <w:pPr>
              <w:jc w:val="center"/>
              <w:rPr>
                <w:b/>
                <w:bCs/>
                <w:sz w:val="24"/>
              </w:rPr>
            </w:pPr>
            <w:r w:rsidRPr="00F67C75">
              <w:rPr>
                <w:b/>
                <w:bCs/>
                <w:sz w:val="24"/>
              </w:rPr>
              <w:t>Giá tối đa</w:t>
            </w:r>
          </w:p>
        </w:tc>
      </w:tr>
      <w:tr w:rsidR="004F0607" w:rsidRPr="00F67C75" w:rsidTr="00B711E6">
        <w:trPr>
          <w:trHeight w:val="322"/>
          <w:tblHeader/>
        </w:trPr>
        <w:tc>
          <w:tcPr>
            <w:tcW w:w="537" w:type="dxa"/>
            <w:vMerge/>
            <w:tcBorders>
              <w:top w:val="single" w:sz="4" w:space="0" w:color="auto"/>
              <w:left w:val="single" w:sz="4" w:space="0" w:color="auto"/>
              <w:bottom w:val="nil"/>
              <w:right w:val="single" w:sz="4" w:space="0" w:color="auto"/>
            </w:tcBorders>
            <w:vAlign w:val="center"/>
            <w:hideMark/>
          </w:tcPr>
          <w:p w:rsidR="004F0607" w:rsidRPr="00F67C75" w:rsidRDefault="004F0607" w:rsidP="00B711E6">
            <w:pPr>
              <w:jc w:val="center"/>
              <w:rPr>
                <w:b/>
                <w:bCs/>
                <w:sz w:val="24"/>
              </w:rPr>
            </w:pPr>
          </w:p>
        </w:tc>
        <w:tc>
          <w:tcPr>
            <w:tcW w:w="4298" w:type="dxa"/>
            <w:vMerge/>
            <w:tcBorders>
              <w:top w:val="single" w:sz="4" w:space="0" w:color="auto"/>
              <w:left w:val="single" w:sz="4" w:space="0" w:color="auto"/>
              <w:bottom w:val="nil"/>
              <w:right w:val="single" w:sz="4" w:space="0" w:color="auto"/>
            </w:tcBorders>
            <w:vAlign w:val="center"/>
            <w:hideMark/>
          </w:tcPr>
          <w:p w:rsidR="004F0607" w:rsidRPr="00F67C75" w:rsidRDefault="004F0607" w:rsidP="00B711E6">
            <w:pPr>
              <w:rPr>
                <w:b/>
                <w:bCs/>
                <w:sz w:val="24"/>
              </w:rPr>
            </w:pPr>
          </w:p>
        </w:tc>
        <w:tc>
          <w:tcPr>
            <w:tcW w:w="1963" w:type="dxa"/>
            <w:vMerge/>
            <w:tcBorders>
              <w:top w:val="single" w:sz="4" w:space="0" w:color="auto"/>
              <w:left w:val="single" w:sz="4" w:space="0" w:color="auto"/>
              <w:bottom w:val="nil"/>
              <w:right w:val="single" w:sz="4" w:space="0" w:color="auto"/>
            </w:tcBorders>
            <w:vAlign w:val="center"/>
            <w:hideMark/>
          </w:tcPr>
          <w:p w:rsidR="004F0607" w:rsidRPr="00F67C75" w:rsidRDefault="004F0607" w:rsidP="00B711E6">
            <w:pPr>
              <w:rPr>
                <w:b/>
                <w:bCs/>
                <w:sz w:val="24"/>
              </w:rPr>
            </w:pPr>
          </w:p>
        </w:tc>
        <w:tc>
          <w:tcPr>
            <w:tcW w:w="2856" w:type="dxa"/>
            <w:gridSpan w:val="2"/>
            <w:vMerge/>
            <w:tcBorders>
              <w:top w:val="single" w:sz="4" w:space="0" w:color="auto"/>
              <w:left w:val="single" w:sz="4" w:space="0" w:color="auto"/>
              <w:bottom w:val="single" w:sz="4" w:space="0" w:color="000000"/>
              <w:right w:val="single" w:sz="4" w:space="0" w:color="000000"/>
            </w:tcBorders>
            <w:vAlign w:val="center"/>
            <w:hideMark/>
          </w:tcPr>
          <w:p w:rsidR="004F0607" w:rsidRPr="00F67C75" w:rsidRDefault="004F0607" w:rsidP="00B711E6">
            <w:pPr>
              <w:rPr>
                <w:b/>
                <w:bCs/>
                <w:sz w:val="24"/>
              </w:rPr>
            </w:pPr>
          </w:p>
        </w:tc>
      </w:tr>
      <w:tr w:rsidR="004F0607" w:rsidRPr="00F67C75" w:rsidTr="00B711E6">
        <w:trPr>
          <w:trHeight w:val="990"/>
          <w:tblHeader/>
        </w:trPr>
        <w:tc>
          <w:tcPr>
            <w:tcW w:w="537" w:type="dxa"/>
            <w:vMerge/>
            <w:tcBorders>
              <w:top w:val="single" w:sz="4" w:space="0" w:color="auto"/>
              <w:left w:val="single" w:sz="4" w:space="0" w:color="auto"/>
              <w:bottom w:val="nil"/>
              <w:right w:val="single" w:sz="4" w:space="0" w:color="auto"/>
            </w:tcBorders>
            <w:vAlign w:val="center"/>
            <w:hideMark/>
          </w:tcPr>
          <w:p w:rsidR="004F0607" w:rsidRPr="00F67C75" w:rsidRDefault="004F0607" w:rsidP="00B711E6">
            <w:pPr>
              <w:jc w:val="center"/>
              <w:rPr>
                <w:b/>
                <w:bCs/>
                <w:sz w:val="24"/>
              </w:rPr>
            </w:pPr>
          </w:p>
        </w:tc>
        <w:tc>
          <w:tcPr>
            <w:tcW w:w="4298" w:type="dxa"/>
            <w:vMerge/>
            <w:tcBorders>
              <w:top w:val="single" w:sz="4" w:space="0" w:color="auto"/>
              <w:left w:val="single" w:sz="4" w:space="0" w:color="auto"/>
              <w:bottom w:val="nil"/>
              <w:right w:val="single" w:sz="4" w:space="0" w:color="auto"/>
            </w:tcBorders>
            <w:vAlign w:val="center"/>
            <w:hideMark/>
          </w:tcPr>
          <w:p w:rsidR="004F0607" w:rsidRPr="00F67C75" w:rsidRDefault="004F0607" w:rsidP="00B711E6">
            <w:pPr>
              <w:rPr>
                <w:b/>
                <w:bCs/>
                <w:sz w:val="24"/>
              </w:rPr>
            </w:pPr>
          </w:p>
        </w:tc>
        <w:tc>
          <w:tcPr>
            <w:tcW w:w="1963" w:type="dxa"/>
            <w:vMerge/>
            <w:tcBorders>
              <w:top w:val="single" w:sz="4" w:space="0" w:color="auto"/>
              <w:left w:val="single" w:sz="4" w:space="0" w:color="auto"/>
              <w:bottom w:val="nil"/>
              <w:right w:val="single" w:sz="4" w:space="0" w:color="auto"/>
            </w:tcBorders>
            <w:vAlign w:val="center"/>
            <w:hideMark/>
          </w:tcPr>
          <w:p w:rsidR="004F0607" w:rsidRPr="00F67C75" w:rsidRDefault="004F0607" w:rsidP="00B711E6">
            <w:pPr>
              <w:rPr>
                <w:b/>
                <w:bCs/>
                <w:sz w:val="24"/>
              </w:rPr>
            </w:pPr>
          </w:p>
        </w:tc>
        <w:tc>
          <w:tcPr>
            <w:tcW w:w="1580" w:type="dxa"/>
            <w:tcBorders>
              <w:top w:val="nil"/>
              <w:left w:val="nil"/>
              <w:bottom w:val="nil"/>
              <w:right w:val="single" w:sz="4" w:space="0" w:color="auto"/>
            </w:tcBorders>
            <w:shd w:val="clear" w:color="000000" w:fill="FFFFFF"/>
            <w:vAlign w:val="center"/>
            <w:hideMark/>
          </w:tcPr>
          <w:p w:rsidR="004F0607" w:rsidRPr="00F67C75" w:rsidRDefault="004F0607" w:rsidP="00B711E6">
            <w:pPr>
              <w:ind w:left="-90" w:right="-198"/>
              <w:jc w:val="center"/>
              <w:rPr>
                <w:b/>
                <w:bCs/>
                <w:sz w:val="24"/>
              </w:rPr>
            </w:pPr>
            <w:r w:rsidRPr="00F67C75">
              <w:rPr>
                <w:b/>
                <w:bCs/>
                <w:sz w:val="24"/>
              </w:rPr>
              <w:t xml:space="preserve">TP Bến Tre </w:t>
            </w:r>
          </w:p>
          <w:p w:rsidR="004F0607" w:rsidRPr="00F67C75" w:rsidRDefault="004F0607" w:rsidP="00B711E6">
            <w:pPr>
              <w:ind w:left="-90" w:right="-198"/>
              <w:jc w:val="center"/>
              <w:rPr>
                <w:b/>
                <w:bCs/>
                <w:sz w:val="24"/>
              </w:rPr>
            </w:pPr>
            <w:r w:rsidRPr="00F67C75">
              <w:rPr>
                <w:b/>
                <w:bCs/>
                <w:sz w:val="24"/>
              </w:rPr>
              <w:t>và huyện</w:t>
            </w:r>
          </w:p>
          <w:p w:rsidR="004F0607" w:rsidRPr="00F67C75" w:rsidRDefault="004F0607" w:rsidP="00B711E6">
            <w:pPr>
              <w:ind w:left="-90" w:right="-198"/>
              <w:jc w:val="center"/>
              <w:rPr>
                <w:b/>
                <w:bCs/>
                <w:sz w:val="24"/>
              </w:rPr>
            </w:pPr>
            <w:r w:rsidRPr="00F67C75">
              <w:rPr>
                <w:b/>
                <w:bCs/>
                <w:sz w:val="24"/>
              </w:rPr>
              <w:t xml:space="preserve"> Châu Thành</w:t>
            </w:r>
          </w:p>
        </w:tc>
        <w:tc>
          <w:tcPr>
            <w:tcW w:w="1276" w:type="dxa"/>
            <w:tcBorders>
              <w:top w:val="nil"/>
              <w:left w:val="nil"/>
              <w:bottom w:val="nil"/>
              <w:right w:val="single" w:sz="4" w:space="0" w:color="auto"/>
            </w:tcBorders>
            <w:shd w:val="clear" w:color="000000" w:fill="FFFFFF"/>
            <w:vAlign w:val="center"/>
            <w:hideMark/>
          </w:tcPr>
          <w:p w:rsidR="004F0607" w:rsidRPr="00F67C75" w:rsidRDefault="004F0607" w:rsidP="00B711E6">
            <w:pPr>
              <w:jc w:val="center"/>
              <w:rPr>
                <w:b/>
                <w:bCs/>
                <w:sz w:val="24"/>
              </w:rPr>
            </w:pPr>
            <w:r w:rsidRPr="00F67C75">
              <w:rPr>
                <w:b/>
                <w:bCs/>
                <w:sz w:val="24"/>
              </w:rPr>
              <w:t>Các huyện còn lại</w:t>
            </w:r>
          </w:p>
        </w:tc>
      </w:tr>
      <w:tr w:rsidR="004F0607" w:rsidRPr="00F67C75" w:rsidTr="00B711E6">
        <w:trPr>
          <w:trHeight w:val="58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r w:rsidRPr="00F67C75">
              <w:rPr>
                <w:b/>
                <w:bCs/>
                <w:sz w:val="24"/>
                <w:szCs w:val="24"/>
              </w:rPr>
              <w:t>A</w:t>
            </w:r>
          </w:p>
        </w:tc>
        <w:tc>
          <w:tcPr>
            <w:tcW w:w="4298" w:type="dxa"/>
            <w:tcBorders>
              <w:top w:val="single" w:sz="4" w:space="0" w:color="auto"/>
              <w:left w:val="nil"/>
              <w:bottom w:val="single" w:sz="4" w:space="0" w:color="auto"/>
              <w:right w:val="single" w:sz="4" w:space="0" w:color="auto"/>
            </w:tcBorders>
            <w:shd w:val="clear" w:color="000000" w:fill="FFFFFF"/>
            <w:vAlign w:val="bottom"/>
            <w:hideMark/>
          </w:tcPr>
          <w:p w:rsidR="004F0607" w:rsidRPr="00F67C75" w:rsidRDefault="004F0607" w:rsidP="00B711E6">
            <w:pPr>
              <w:jc w:val="both"/>
              <w:rPr>
                <w:b/>
                <w:bCs/>
                <w:sz w:val="22"/>
                <w:szCs w:val="22"/>
              </w:rPr>
            </w:pPr>
            <w:r w:rsidRPr="00F67C75">
              <w:rPr>
                <w:b/>
                <w:bCs/>
                <w:sz w:val="22"/>
                <w:szCs w:val="22"/>
              </w:rPr>
              <w:t xml:space="preserve">ĐỐI TƯỢNG </w:t>
            </w:r>
            <w:r>
              <w:rPr>
                <w:b/>
                <w:bCs/>
                <w:sz w:val="22"/>
                <w:szCs w:val="22"/>
              </w:rPr>
              <w:t xml:space="preserve">KHÔNG XÁC ĐỊNH </w:t>
            </w:r>
            <w:r>
              <w:rPr>
                <w:b/>
                <w:bCs/>
                <w:sz w:val="22"/>
                <w:szCs w:val="22"/>
              </w:rPr>
              <w:br/>
              <w:t>ĐƯỢC KHỐI LƯỢNG</w:t>
            </w:r>
          </w:p>
        </w:tc>
        <w:tc>
          <w:tcPr>
            <w:tcW w:w="1963" w:type="dxa"/>
            <w:tcBorders>
              <w:top w:val="single" w:sz="4" w:space="0" w:color="auto"/>
              <w:left w:val="nil"/>
              <w:bottom w:val="single" w:sz="4" w:space="0" w:color="auto"/>
              <w:right w:val="single" w:sz="4" w:space="0" w:color="auto"/>
            </w:tcBorders>
            <w:shd w:val="clear" w:color="000000" w:fill="FFFFFF"/>
            <w:vAlign w:val="bottom"/>
            <w:hideMark/>
          </w:tcPr>
          <w:p w:rsidR="004F0607" w:rsidRPr="00F67C75" w:rsidRDefault="004F0607" w:rsidP="00B711E6">
            <w:pPr>
              <w:jc w:val="center"/>
              <w:rPr>
                <w:b/>
                <w:bCs/>
                <w:sz w:val="24"/>
                <w:szCs w:val="24"/>
              </w:rPr>
            </w:pPr>
            <w:r w:rsidRPr="00F67C75">
              <w:rPr>
                <w:b/>
                <w:bCs/>
                <w:sz w:val="24"/>
                <w:szCs w:val="24"/>
              </w:rPr>
              <w:t> </w:t>
            </w:r>
          </w:p>
        </w:tc>
        <w:tc>
          <w:tcPr>
            <w:tcW w:w="1580" w:type="dxa"/>
            <w:tcBorders>
              <w:top w:val="single" w:sz="4" w:space="0" w:color="auto"/>
              <w:left w:val="nil"/>
              <w:bottom w:val="single" w:sz="4" w:space="0" w:color="auto"/>
              <w:right w:val="single" w:sz="4" w:space="0" w:color="auto"/>
            </w:tcBorders>
            <w:shd w:val="clear" w:color="000000" w:fill="FFFFFF"/>
            <w:hideMark/>
          </w:tcPr>
          <w:p w:rsidR="004F0607" w:rsidRPr="00F67C75" w:rsidRDefault="004F0607" w:rsidP="00B711E6">
            <w:pPr>
              <w:jc w:val="center"/>
              <w:rPr>
                <w:b/>
                <w:bCs/>
                <w:sz w:val="24"/>
                <w:szCs w:val="24"/>
              </w:rPr>
            </w:pPr>
            <w:r w:rsidRPr="00F67C75">
              <w:rPr>
                <w:b/>
                <w:bCs/>
                <w:sz w:val="24"/>
                <w:szCs w:val="24"/>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4F0607" w:rsidRPr="00F67C75" w:rsidRDefault="004F0607" w:rsidP="00B711E6">
            <w:pPr>
              <w:jc w:val="center"/>
              <w:rPr>
                <w:b/>
                <w:bCs/>
                <w:sz w:val="24"/>
                <w:szCs w:val="24"/>
              </w:rPr>
            </w:pPr>
            <w:r w:rsidRPr="00F67C75">
              <w:rPr>
                <w:b/>
                <w:bCs/>
                <w:sz w:val="24"/>
                <w:szCs w:val="24"/>
              </w:rPr>
              <w:t> </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r w:rsidRPr="00F67C75">
              <w:rPr>
                <w:b/>
                <w:bCs/>
                <w:sz w:val="24"/>
                <w:szCs w:val="24"/>
              </w:rPr>
              <w:t>I</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b/>
                <w:bCs/>
                <w:sz w:val="24"/>
                <w:szCs w:val="24"/>
              </w:rPr>
            </w:pPr>
            <w:r w:rsidRPr="00F67C75">
              <w:rPr>
                <w:b/>
                <w:bCs/>
                <w:sz w:val="24"/>
                <w:szCs w:val="24"/>
              </w:rPr>
              <w:t>HỘ GIA ĐÌNH</w:t>
            </w:r>
          </w:p>
        </w:tc>
        <w:tc>
          <w:tcPr>
            <w:tcW w:w="1963" w:type="dxa"/>
            <w:tcBorders>
              <w:top w:val="nil"/>
              <w:left w:val="nil"/>
              <w:bottom w:val="single" w:sz="4" w:space="0" w:color="auto"/>
              <w:right w:val="single" w:sz="4" w:space="0" w:color="auto"/>
            </w:tcBorders>
            <w:shd w:val="clear" w:color="000000" w:fill="FFFFFF"/>
            <w:vAlign w:val="bottom"/>
            <w:hideMark/>
          </w:tcPr>
          <w:p w:rsidR="004F0607" w:rsidRPr="00F67C75" w:rsidRDefault="004F0607" w:rsidP="00B711E6">
            <w:pPr>
              <w:jc w:val="center"/>
              <w:rPr>
                <w:b/>
                <w:bCs/>
                <w:sz w:val="24"/>
                <w:szCs w:val="24"/>
              </w:rPr>
            </w:pPr>
            <w:r w:rsidRPr="00F67C75">
              <w:rPr>
                <w:b/>
                <w:bCs/>
                <w:sz w:val="24"/>
                <w:szCs w:val="24"/>
              </w:rPr>
              <w:t> </w:t>
            </w:r>
          </w:p>
        </w:tc>
        <w:tc>
          <w:tcPr>
            <w:tcW w:w="1580" w:type="dxa"/>
            <w:tcBorders>
              <w:top w:val="nil"/>
              <w:left w:val="nil"/>
              <w:bottom w:val="single" w:sz="4" w:space="0" w:color="auto"/>
              <w:right w:val="single" w:sz="4" w:space="0" w:color="auto"/>
            </w:tcBorders>
            <w:shd w:val="clear" w:color="000000" w:fill="FFFFFF"/>
            <w:hideMark/>
          </w:tcPr>
          <w:p w:rsidR="004F0607" w:rsidRPr="00F67C75" w:rsidRDefault="004F0607" w:rsidP="00B711E6">
            <w:pPr>
              <w:rPr>
                <w:sz w:val="24"/>
                <w:szCs w:val="24"/>
              </w:rPr>
            </w:pPr>
            <w:r w:rsidRPr="00F67C75">
              <w:rPr>
                <w:sz w:val="24"/>
                <w:szCs w:val="24"/>
              </w:rPr>
              <w:t> </w:t>
            </w:r>
          </w:p>
        </w:tc>
        <w:tc>
          <w:tcPr>
            <w:tcW w:w="1276" w:type="dxa"/>
            <w:tcBorders>
              <w:top w:val="nil"/>
              <w:left w:val="nil"/>
              <w:bottom w:val="single" w:sz="4" w:space="0" w:color="auto"/>
              <w:right w:val="single" w:sz="4" w:space="0" w:color="auto"/>
            </w:tcBorders>
            <w:shd w:val="clear" w:color="000000" w:fill="FFFFFF"/>
            <w:hideMark/>
          </w:tcPr>
          <w:p w:rsidR="004F0607" w:rsidRPr="00F67C75" w:rsidRDefault="004F0607" w:rsidP="00B711E6">
            <w:pPr>
              <w:rPr>
                <w:sz w:val="24"/>
                <w:szCs w:val="24"/>
              </w:rPr>
            </w:pPr>
            <w:r w:rsidRPr="00F67C75">
              <w:rPr>
                <w:sz w:val="24"/>
                <w:szCs w:val="24"/>
              </w:rPr>
              <w:t> </w:t>
            </w:r>
          </w:p>
        </w:tc>
      </w:tr>
      <w:tr w:rsidR="004F0607" w:rsidRPr="00F67C75" w:rsidTr="00B711E6">
        <w:trPr>
          <w:trHeight w:val="3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Hộ chỉ ở</w:t>
            </w:r>
          </w:p>
        </w:tc>
        <w:tc>
          <w:tcPr>
            <w:tcW w:w="1963" w:type="dxa"/>
            <w:tcBorders>
              <w:top w:val="nil"/>
              <w:left w:val="nil"/>
              <w:bottom w:val="single" w:sz="4" w:space="0" w:color="auto"/>
              <w:right w:val="single" w:sz="4" w:space="0" w:color="auto"/>
            </w:tcBorders>
            <w:shd w:val="clear" w:color="000000" w:fill="FFFFFF"/>
            <w:vAlign w:val="bottom"/>
            <w:hideMark/>
          </w:tcPr>
          <w:p w:rsidR="004F0607" w:rsidRPr="00F67C75" w:rsidRDefault="004F0607" w:rsidP="00B711E6">
            <w:pPr>
              <w:jc w:val="center"/>
              <w:rPr>
                <w:sz w:val="24"/>
                <w:szCs w:val="24"/>
              </w:rPr>
            </w:pPr>
            <w:r w:rsidRPr="00F67C75">
              <w:rPr>
                <w:sz w:val="24"/>
                <w:szCs w:val="24"/>
              </w:rPr>
              <w:t> </w:t>
            </w:r>
          </w:p>
        </w:tc>
        <w:tc>
          <w:tcPr>
            <w:tcW w:w="1580" w:type="dxa"/>
            <w:tcBorders>
              <w:top w:val="nil"/>
              <w:left w:val="nil"/>
              <w:bottom w:val="single" w:sz="4" w:space="0" w:color="auto"/>
              <w:right w:val="single" w:sz="4" w:space="0" w:color="auto"/>
            </w:tcBorders>
            <w:shd w:val="clear" w:color="000000" w:fill="FFFFFF"/>
            <w:hideMark/>
          </w:tcPr>
          <w:p w:rsidR="004F0607" w:rsidRPr="00F67C75" w:rsidRDefault="004F0607" w:rsidP="00B711E6">
            <w:pPr>
              <w:rPr>
                <w:sz w:val="24"/>
                <w:szCs w:val="24"/>
              </w:rPr>
            </w:pPr>
            <w:r w:rsidRPr="00F67C75">
              <w:rPr>
                <w:sz w:val="24"/>
                <w:szCs w:val="24"/>
              </w:rPr>
              <w:t> </w:t>
            </w:r>
          </w:p>
        </w:tc>
        <w:tc>
          <w:tcPr>
            <w:tcW w:w="1276" w:type="dxa"/>
            <w:tcBorders>
              <w:top w:val="nil"/>
              <w:left w:val="nil"/>
              <w:bottom w:val="single" w:sz="4" w:space="0" w:color="auto"/>
              <w:right w:val="single" w:sz="4" w:space="0" w:color="auto"/>
            </w:tcBorders>
            <w:shd w:val="clear" w:color="000000" w:fill="FFFFFF"/>
            <w:hideMark/>
          </w:tcPr>
          <w:p w:rsidR="004F0607" w:rsidRPr="00F67C75" w:rsidRDefault="004F0607" w:rsidP="00B711E6">
            <w:pPr>
              <w:rPr>
                <w:sz w:val="24"/>
                <w:szCs w:val="24"/>
              </w:rPr>
            </w:pPr>
            <w:r w:rsidRPr="00F67C75">
              <w:rPr>
                <w:sz w:val="24"/>
                <w:szCs w:val="24"/>
              </w:rPr>
              <w:t> </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Hộ có nhân khẩu ≤ 4 người</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18.000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Hộ có nhân khẩu &gt; 4 người</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22.000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Phòng trọ cho thuê chỉ để ở</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Cho thuê hàng tháng</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a)</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Phòng có ≤ 4 người</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đồng/phòng/tháng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18.000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b)</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Phòng có &gt; 4 người</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đồng/phòng/tháng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22.000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Cho thuê ngắn ngày</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đồng/phòng/tháng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9.000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r w:rsidRPr="00F67C75">
              <w:rPr>
                <w:b/>
                <w:bCs/>
                <w:sz w:val="24"/>
                <w:szCs w:val="24"/>
              </w:rPr>
              <w:t>II</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b/>
                <w:bCs/>
                <w:sz w:val="24"/>
                <w:szCs w:val="24"/>
              </w:rPr>
            </w:pPr>
            <w:r w:rsidRPr="00F67C75">
              <w:rPr>
                <w:b/>
                <w:bCs/>
                <w:sz w:val="24"/>
                <w:szCs w:val="24"/>
              </w:rPr>
              <w:t>HỘ KINH DOANH BUÔN BÁN NHỎ</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Bán hàng công nghệ phẩm, mỹ phẩm, vải sợi (kể cả các sạp cố định ở các chợ)</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 đồng/sạp/tháng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50.000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40.000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&gt;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60.000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50.000</w:t>
            </w:r>
          </w:p>
        </w:tc>
      </w:tr>
      <w:tr w:rsidR="004F0607" w:rsidRPr="00F67C75" w:rsidTr="00B711E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03583F" w:rsidRDefault="004F0607" w:rsidP="00B711E6">
            <w:pPr>
              <w:jc w:val="both"/>
              <w:rPr>
                <w:spacing w:val="-4"/>
                <w:sz w:val="24"/>
                <w:szCs w:val="24"/>
              </w:rPr>
            </w:pPr>
            <w:r w:rsidRPr="0003583F">
              <w:rPr>
                <w:spacing w:val="-4"/>
                <w:sz w:val="24"/>
                <w:szCs w:val="24"/>
              </w:rPr>
              <w:t>May mặc, cắt uốn tóc, hiệu ảnh, vàng bạc, cầm đồ, xe đạp, đồng hồ điện tử, điện lạnh</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50.000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45.000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&gt;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70.000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60.000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3</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Sửa chữa môtô, xe máy</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50.000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40.000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&gt;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90.000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4</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Bán hàng nông sản thực phẩm, hoa tươi, trái cây (kể cả các sạp cố định ở các chợ)</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 đồng/sạp/tháng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60.000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50.000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&gt;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60.000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5</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Ăn uống</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70.000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60.000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&gt;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90.000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6</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Ấp gà vịt</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đồng/hộ/tháng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 5m</w:t>
            </w:r>
            <w:r w:rsidRPr="00F67C75">
              <w:rPr>
                <w:sz w:val="24"/>
                <w:szCs w:val="24"/>
                <w:vertAlign w:val="superscript"/>
              </w:rPr>
              <w:t>2</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70.000</w:t>
            </w:r>
          </w:p>
        </w:tc>
      </w:tr>
      <w:tr w:rsidR="004F0607" w:rsidRPr="00F67C75" w:rsidTr="00B711E6">
        <w:trPr>
          <w:trHeight w:val="31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Diện tích &gt; 5m</w:t>
            </w:r>
            <w:r w:rsidRPr="00F67C75">
              <w:rPr>
                <w:sz w:val="24"/>
                <w:szCs w:val="24"/>
                <w:vertAlign w:val="superscript"/>
              </w:rPr>
              <w:t>2</w:t>
            </w:r>
          </w:p>
        </w:tc>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90.000</w:t>
            </w:r>
          </w:p>
        </w:tc>
      </w:tr>
      <w:tr w:rsidR="004F0607" w:rsidRPr="00F67C75" w:rsidTr="00B711E6">
        <w:trPr>
          <w:trHeight w:val="31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r w:rsidRPr="00F67C75">
              <w:rPr>
                <w:b/>
                <w:bCs/>
                <w:sz w:val="24"/>
                <w:szCs w:val="24"/>
              </w:rPr>
              <w:lastRenderedPageBreak/>
              <w:t>III</w:t>
            </w:r>
          </w:p>
        </w:tc>
        <w:tc>
          <w:tcPr>
            <w:tcW w:w="4298"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b/>
                <w:bCs/>
                <w:sz w:val="24"/>
                <w:szCs w:val="24"/>
              </w:rPr>
            </w:pPr>
            <w:r w:rsidRPr="00F67C75">
              <w:rPr>
                <w:b/>
                <w:bCs/>
                <w:sz w:val="24"/>
                <w:szCs w:val="24"/>
              </w:rPr>
              <w:t>CƠ SỞ Y TẾ NHỎ</w:t>
            </w:r>
          </w:p>
        </w:tc>
        <w:tc>
          <w:tcPr>
            <w:tcW w:w="1963"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đồng/đơn vị/tháng</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Phòng khám tư nhân, hiệu thuốc</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60.000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Trạm y tế phường, xã</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3</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Nhà bảo sanh, phòng khám đa khoa</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160.000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130.000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r w:rsidRPr="00F67C75">
              <w:rPr>
                <w:b/>
                <w:bCs/>
                <w:sz w:val="24"/>
                <w:szCs w:val="24"/>
              </w:rPr>
              <w:t>IV</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b/>
                <w:bCs/>
                <w:sz w:val="24"/>
                <w:szCs w:val="24"/>
              </w:rPr>
            </w:pPr>
            <w:r w:rsidRPr="00F67C75">
              <w:rPr>
                <w:b/>
                <w:bCs/>
                <w:sz w:val="24"/>
                <w:szCs w:val="24"/>
              </w:rPr>
              <w:t>TRỤ SỞ LÀM VIỆC</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đồng/đơn vị/tháng</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Cơ quan hành chính, sở ngành, đoàn thể, trung tâm, phòng ban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150.000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Xã, phường</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r w:rsidRPr="00F67C75">
              <w:rPr>
                <w:b/>
                <w:bCs/>
                <w:sz w:val="24"/>
                <w:szCs w:val="24"/>
              </w:rPr>
              <w:t>B</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b/>
                <w:bCs/>
                <w:sz w:val="22"/>
                <w:szCs w:val="22"/>
              </w:rPr>
            </w:pPr>
            <w:r w:rsidRPr="00F67C75">
              <w:rPr>
                <w:b/>
                <w:bCs/>
                <w:sz w:val="22"/>
                <w:szCs w:val="22"/>
              </w:rPr>
              <w:t>ĐỐI TƯỢNG XÁC ĐỊNH ĐƯỢC KHỐI LƯỢNG</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đồng/tấn</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Trường học, nhà trẻ</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Cửa hàng, khách sạn, nhà hàng kinh doanh ăn uống</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Công ty, xí nghiệp, ngân hàng thương mại</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Cơ sở y tế (bệnh viện, trung tâm y tế)</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Nhà máy, cơ sở sản xuất</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Chợ, siêu thị, bến tàu, bến xe</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Công trình xây dựng</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Các đối tượng khác:</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Ngoài các đối</w:t>
            </w:r>
            <w:r>
              <w:rPr>
                <w:sz w:val="24"/>
                <w:szCs w:val="24"/>
              </w:rPr>
              <w:t xml:space="preserve"> tượng nêu trên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b/>
                <w:bCs/>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Đối tượng Phần A: Có phát sinh rác thải lớn, đột biến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Thu gom bằng xe thô sơ, vận chuyển bằng xe ép rác</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5km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đồng/tấn</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320.000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290.000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220.000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210.000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5km đến 10km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340.000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310.000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240.000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230.000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1.3</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10km đến 15km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360.000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330.000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260.000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250.000</w:t>
            </w:r>
          </w:p>
        </w:tc>
      </w:tr>
      <w:tr w:rsidR="004F0607" w:rsidRPr="00F67C75" w:rsidTr="00B711E6">
        <w:trPr>
          <w:trHeight w:val="3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1.4</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15km đến 20km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380.000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350.000</w:t>
            </w:r>
          </w:p>
        </w:tc>
      </w:tr>
      <w:tr w:rsidR="004F0607" w:rsidRPr="00F67C75" w:rsidTr="00B711E6">
        <w:trPr>
          <w:trHeight w:val="31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w:t>
            </w:r>
          </w:p>
        </w:tc>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80.000</w:t>
            </w:r>
          </w:p>
        </w:tc>
      </w:tr>
      <w:tr w:rsidR="004F0607" w:rsidRPr="00F67C75" w:rsidTr="00B711E6">
        <w:trPr>
          <w:trHeight w:val="31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Vận chuyển</w:t>
            </w:r>
          </w:p>
        </w:tc>
        <w:tc>
          <w:tcPr>
            <w:tcW w:w="1963"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280.000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270.000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lastRenderedPageBreak/>
              <w:t>1.5</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20km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Thỏa thuận</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ind w:left="-108" w:right="-108"/>
              <w:jc w:val="right"/>
              <w:rPr>
                <w:sz w:val="24"/>
                <w:szCs w:val="24"/>
              </w:rPr>
            </w:pPr>
            <w:r w:rsidRPr="00F67C75">
              <w:rPr>
                <w:sz w:val="24"/>
                <w:szCs w:val="24"/>
              </w:rPr>
              <w:t>Thỏa thuận</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Thu gom, vận chuyển bằng xe ép rác</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2.1</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5km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 và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265.000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255.000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2.2</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5km đến 10km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 và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295.000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285.000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2.3</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10km đến 15km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 và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325.000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315.000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2.4</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15km đến 20km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 Thu gom và vận chuyển</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355.000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345.000</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2.5</w:t>
            </w:r>
          </w:p>
        </w:tc>
        <w:tc>
          <w:tcPr>
            <w:tcW w:w="4298"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both"/>
              <w:rPr>
                <w:sz w:val="24"/>
                <w:szCs w:val="24"/>
              </w:rPr>
            </w:pPr>
            <w:r w:rsidRPr="00F67C75">
              <w:rPr>
                <w:sz w:val="24"/>
                <w:szCs w:val="24"/>
              </w:rPr>
              <w:t>Cự ly thu gom và vận chuyển trên 20km</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r w:rsidRPr="00F67C75">
              <w:rPr>
                <w:sz w:val="24"/>
                <w:szCs w:val="24"/>
              </w:rPr>
              <w:t>-"-</w:t>
            </w: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Thỏa thuận</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ind w:left="-108"/>
              <w:jc w:val="right"/>
              <w:rPr>
                <w:sz w:val="24"/>
                <w:szCs w:val="24"/>
              </w:rPr>
            </w:pPr>
            <w:r w:rsidRPr="00F67C75">
              <w:rPr>
                <w:sz w:val="24"/>
                <w:szCs w:val="24"/>
              </w:rPr>
              <w:t>Thỏa thuận</w:t>
            </w:r>
          </w:p>
        </w:tc>
      </w:tr>
      <w:tr w:rsidR="004F0607" w:rsidRPr="00F67C75" w:rsidTr="00B711E6">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F0607" w:rsidRPr="00F67C75" w:rsidRDefault="004F0607" w:rsidP="00B711E6">
            <w:pPr>
              <w:jc w:val="center"/>
              <w:rPr>
                <w:sz w:val="24"/>
                <w:szCs w:val="24"/>
              </w:rPr>
            </w:pPr>
            <w:r w:rsidRPr="00F67C75">
              <w:rPr>
                <w:sz w:val="24"/>
                <w:szCs w:val="24"/>
              </w:rPr>
              <w:t>3</w:t>
            </w:r>
          </w:p>
        </w:tc>
        <w:tc>
          <w:tcPr>
            <w:tcW w:w="4298" w:type="dxa"/>
            <w:tcBorders>
              <w:top w:val="nil"/>
              <w:left w:val="nil"/>
              <w:bottom w:val="single" w:sz="4" w:space="0" w:color="auto"/>
              <w:right w:val="single" w:sz="4" w:space="0" w:color="auto"/>
            </w:tcBorders>
            <w:shd w:val="clear" w:color="000000" w:fill="FFFFFF"/>
            <w:hideMark/>
          </w:tcPr>
          <w:p w:rsidR="004F0607" w:rsidRPr="00F67C75" w:rsidRDefault="004F0607" w:rsidP="00B711E6">
            <w:pPr>
              <w:rPr>
                <w:sz w:val="24"/>
                <w:szCs w:val="24"/>
              </w:rPr>
            </w:pPr>
            <w:r w:rsidRPr="00F67C75">
              <w:rPr>
                <w:sz w:val="24"/>
                <w:szCs w:val="24"/>
              </w:rPr>
              <w:t xml:space="preserve"> Công tác xử lý rác</w:t>
            </w:r>
          </w:p>
        </w:tc>
        <w:tc>
          <w:tcPr>
            <w:tcW w:w="1963"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center"/>
              <w:rPr>
                <w:sz w:val="24"/>
                <w:szCs w:val="24"/>
              </w:rPr>
            </w:pPr>
          </w:p>
        </w:tc>
        <w:tc>
          <w:tcPr>
            <w:tcW w:w="1580"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45.000</w:t>
            </w:r>
          </w:p>
        </w:tc>
        <w:tc>
          <w:tcPr>
            <w:tcW w:w="1276" w:type="dxa"/>
            <w:tcBorders>
              <w:top w:val="nil"/>
              <w:left w:val="nil"/>
              <w:bottom w:val="single" w:sz="4" w:space="0" w:color="auto"/>
              <w:right w:val="single" w:sz="4" w:space="0" w:color="auto"/>
            </w:tcBorders>
            <w:shd w:val="clear" w:color="000000" w:fill="FFFFFF"/>
            <w:vAlign w:val="center"/>
            <w:hideMark/>
          </w:tcPr>
          <w:p w:rsidR="004F0607" w:rsidRPr="00F67C75" w:rsidRDefault="004F0607" w:rsidP="00B711E6">
            <w:pPr>
              <w:jc w:val="right"/>
              <w:rPr>
                <w:sz w:val="24"/>
                <w:szCs w:val="24"/>
              </w:rPr>
            </w:pPr>
            <w:r w:rsidRPr="00F67C75">
              <w:rPr>
                <w:sz w:val="24"/>
                <w:szCs w:val="24"/>
              </w:rPr>
              <w:t>42.000</w:t>
            </w:r>
          </w:p>
        </w:tc>
      </w:tr>
    </w:tbl>
    <w:p w:rsidR="00C20AD5" w:rsidRDefault="00C20AD5"/>
    <w:sectPr w:rsidR="00C20AD5" w:rsidSect="004F0607">
      <w:pgSz w:w="11907" w:h="16839"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4F0607"/>
    <w:rsid w:val="004F0607"/>
    <w:rsid w:val="00C20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07"/>
    <w:pPr>
      <w:spacing w:after="0" w:line="240" w:lineRule="auto"/>
    </w:pPr>
    <w:rPr>
      <w:rFonts w:eastAsia="Times New Roman" w:cs="Times New Roman"/>
      <w:szCs w:val="28"/>
    </w:rPr>
  </w:style>
  <w:style w:type="paragraph" w:styleId="Heading1">
    <w:name w:val="heading 1"/>
    <w:basedOn w:val="Normal"/>
    <w:next w:val="Normal"/>
    <w:link w:val="Heading1Char"/>
    <w:qFormat/>
    <w:rsid w:val="004F0607"/>
    <w:pPr>
      <w:keepNext/>
      <w:outlineLvl w:val="0"/>
    </w:pPr>
    <w:rPr>
      <w:rFonts w:ascii="VNI-Times" w:hAnsi="VNI-Times"/>
      <w:sz w:val="26"/>
      <w:szCs w:val="26"/>
      <w:lang w:eastAsia="vi-VN"/>
    </w:rPr>
  </w:style>
  <w:style w:type="paragraph" w:styleId="Heading2">
    <w:name w:val="heading 2"/>
    <w:basedOn w:val="Normal"/>
    <w:next w:val="Normal"/>
    <w:link w:val="Heading2Char"/>
    <w:qFormat/>
    <w:rsid w:val="004F0607"/>
    <w:pPr>
      <w:keepNext/>
      <w:outlineLvl w:val="1"/>
    </w:pPr>
    <w:rPr>
      <w:b/>
      <w:bCs/>
      <w:lang w:eastAsia="vi-VN"/>
    </w:rPr>
  </w:style>
  <w:style w:type="paragraph" w:styleId="Heading3">
    <w:name w:val="heading 3"/>
    <w:basedOn w:val="Normal"/>
    <w:next w:val="Normal"/>
    <w:link w:val="Heading3Char"/>
    <w:qFormat/>
    <w:rsid w:val="004F0607"/>
    <w:pPr>
      <w:keepNext/>
      <w:jc w:val="center"/>
      <w:outlineLvl w:val="2"/>
    </w:pPr>
    <w:rPr>
      <w:b/>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607"/>
    <w:rPr>
      <w:rFonts w:ascii="VNI-Times" w:eastAsia="Times New Roman" w:hAnsi="VNI-Times" w:cs="Times New Roman"/>
      <w:sz w:val="26"/>
      <w:szCs w:val="26"/>
      <w:lang w:eastAsia="vi-VN"/>
    </w:rPr>
  </w:style>
  <w:style w:type="character" w:customStyle="1" w:styleId="Heading2Char">
    <w:name w:val="Heading 2 Char"/>
    <w:basedOn w:val="DefaultParagraphFont"/>
    <w:link w:val="Heading2"/>
    <w:rsid w:val="004F0607"/>
    <w:rPr>
      <w:rFonts w:eastAsia="Times New Roman" w:cs="Times New Roman"/>
      <w:b/>
      <w:bCs/>
      <w:szCs w:val="28"/>
      <w:lang w:eastAsia="vi-VN"/>
    </w:rPr>
  </w:style>
  <w:style w:type="character" w:customStyle="1" w:styleId="Heading3Char">
    <w:name w:val="Heading 3 Char"/>
    <w:basedOn w:val="DefaultParagraphFont"/>
    <w:link w:val="Heading3"/>
    <w:rsid w:val="004F0607"/>
    <w:rPr>
      <w:rFonts w:eastAsia="Times New Roman" w:cs="Times New Roman"/>
      <w:b/>
      <w:szCs w:val="20"/>
      <w:lang w:eastAsia="vi-VN"/>
    </w:rPr>
  </w:style>
  <w:style w:type="paragraph" w:styleId="BodyTextIndent2">
    <w:name w:val="Body Text Indent 2"/>
    <w:basedOn w:val="Normal"/>
    <w:link w:val="BodyTextIndent2Char"/>
    <w:rsid w:val="004F0607"/>
    <w:pPr>
      <w:spacing w:before="120"/>
      <w:ind w:firstLine="142"/>
      <w:jc w:val="both"/>
    </w:pPr>
    <w:rPr>
      <w:szCs w:val="20"/>
      <w:lang w:eastAsia="vi-VN"/>
    </w:rPr>
  </w:style>
  <w:style w:type="character" w:customStyle="1" w:styleId="BodyTextIndent2Char">
    <w:name w:val="Body Text Indent 2 Char"/>
    <w:basedOn w:val="DefaultParagraphFont"/>
    <w:link w:val="BodyTextIndent2"/>
    <w:rsid w:val="004F0607"/>
    <w:rPr>
      <w:rFonts w:eastAsia="Times New Roman" w:cs="Times New Roman"/>
      <w:szCs w:val="20"/>
      <w:lang w:eastAsia="vi-VN"/>
    </w:rPr>
  </w:style>
  <w:style w:type="paragraph" w:styleId="BodyTextIndent3">
    <w:name w:val="Body Text Indent 3"/>
    <w:basedOn w:val="Normal"/>
    <w:link w:val="BodyTextIndent3Char"/>
    <w:rsid w:val="004F0607"/>
    <w:pPr>
      <w:spacing w:after="120"/>
      <w:ind w:firstLine="851"/>
      <w:jc w:val="both"/>
    </w:pPr>
    <w:rPr>
      <w:szCs w:val="20"/>
      <w:lang w:eastAsia="vi-VN"/>
    </w:rPr>
  </w:style>
  <w:style w:type="character" w:customStyle="1" w:styleId="BodyTextIndent3Char">
    <w:name w:val="Body Text Indent 3 Char"/>
    <w:basedOn w:val="DefaultParagraphFont"/>
    <w:link w:val="BodyTextIndent3"/>
    <w:rsid w:val="004F0607"/>
    <w:rPr>
      <w:rFonts w:eastAsia="Times New Roman" w:cs="Times New Roman"/>
      <w:szCs w:val="20"/>
      <w:lang w:eastAsia="vi-VN"/>
    </w:rPr>
  </w:style>
  <w:style w:type="paragraph" w:styleId="NormalWeb">
    <w:name w:val="Normal (Web)"/>
    <w:basedOn w:val="Normal"/>
    <w:uiPriority w:val="99"/>
    <w:rsid w:val="004F06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2017-01-09T19:36:00Z</dcterms:created>
  <dcterms:modified xsi:type="dcterms:W3CDTF">2017-01-09T19:38:00Z</dcterms:modified>
</cp:coreProperties>
</file>