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166"/>
        <w:gridCol w:w="5838"/>
      </w:tblGrid>
      <w:tr w:rsidR="00F64B33" w:rsidRPr="00687F9C" w:rsidTr="00301D10">
        <w:trPr>
          <w:trHeight w:val="719"/>
          <w:tblCellSpacing w:w="0" w:type="dxa"/>
        </w:trPr>
        <w:tc>
          <w:tcPr>
            <w:tcW w:w="3348" w:type="dxa"/>
            <w:tcMar>
              <w:top w:w="0" w:type="dxa"/>
              <w:left w:w="108" w:type="dxa"/>
              <w:bottom w:w="0" w:type="dxa"/>
              <w:right w:w="108" w:type="dxa"/>
            </w:tcMar>
          </w:tcPr>
          <w:p w:rsidR="00F64B33" w:rsidRPr="00687F9C" w:rsidRDefault="00F64B33" w:rsidP="00301D10">
            <w:pPr>
              <w:spacing w:before="100" w:beforeAutospacing="1" w:after="120"/>
              <w:jc w:val="center"/>
              <w:rPr>
                <w:sz w:val="26"/>
                <w:szCs w:val="26"/>
              </w:rPr>
            </w:pPr>
            <w:r w:rsidRPr="00687F9C">
              <w:rPr>
                <w:b/>
                <w:bCs/>
                <w:noProof/>
                <w:sz w:val="26"/>
                <w:szCs w:val="26"/>
              </w:rPr>
              <w:pict>
                <v:line id="_x0000_s1028" style="position:absolute;left:0;text-align:left;z-index:251662336" from="58.15pt,30.6pt" to="96.3pt,30.6pt"/>
              </w:pict>
            </w:r>
            <w:r w:rsidRPr="00687F9C">
              <w:rPr>
                <w:b/>
                <w:bCs/>
                <w:sz w:val="26"/>
                <w:szCs w:val="26"/>
              </w:rPr>
              <w:t>ỦY BAN NHÂN DÂN</w:t>
            </w:r>
            <w:r w:rsidRPr="00687F9C">
              <w:rPr>
                <w:b/>
                <w:bCs/>
                <w:sz w:val="26"/>
                <w:szCs w:val="26"/>
              </w:rPr>
              <w:br/>
              <w:t>TỈNH BẾN TRE</w:t>
            </w:r>
          </w:p>
        </w:tc>
        <w:tc>
          <w:tcPr>
            <w:tcW w:w="6399" w:type="dxa"/>
            <w:tcMar>
              <w:top w:w="0" w:type="dxa"/>
              <w:left w:w="108" w:type="dxa"/>
              <w:bottom w:w="0" w:type="dxa"/>
              <w:right w:w="108" w:type="dxa"/>
            </w:tcMar>
          </w:tcPr>
          <w:p w:rsidR="00F64B33" w:rsidRPr="00687F9C" w:rsidRDefault="00F64B33" w:rsidP="00301D10">
            <w:pPr>
              <w:spacing w:before="100" w:beforeAutospacing="1" w:after="120"/>
              <w:jc w:val="center"/>
              <w:rPr>
                <w:sz w:val="14"/>
                <w:szCs w:val="26"/>
              </w:rPr>
            </w:pPr>
            <w:r w:rsidRPr="00687F9C">
              <w:rPr>
                <w:b/>
                <w:bCs/>
                <w:noProof/>
                <w:sz w:val="24"/>
              </w:rPr>
              <w:pict>
                <v:line id="_x0000_s1027" style="position:absolute;left:0;text-align:left;z-index:251661312;mso-position-horizontal-relative:text;mso-position-vertical-relative:text" from="77.1pt,31.2pt" to="240.6pt,31.2pt"/>
              </w:pict>
            </w:r>
            <w:r w:rsidRPr="00687F9C">
              <w:rPr>
                <w:b/>
                <w:bCs/>
                <w:sz w:val="24"/>
              </w:rPr>
              <w:t>CỘNG HÒA XÃ HỘI CHỦ NGHĨA VIỆT NAM</w:t>
            </w:r>
            <w:r w:rsidRPr="00687F9C">
              <w:rPr>
                <w:b/>
                <w:bCs/>
                <w:sz w:val="26"/>
                <w:szCs w:val="26"/>
              </w:rPr>
              <w:br/>
              <w:t xml:space="preserve">   </w:t>
            </w:r>
            <w:r w:rsidRPr="00687F9C">
              <w:rPr>
                <w:b/>
                <w:bCs/>
                <w:szCs w:val="26"/>
              </w:rPr>
              <w:t xml:space="preserve">Độc lập - Tự do - Hạnh phúc </w:t>
            </w:r>
            <w:r w:rsidRPr="00687F9C">
              <w:rPr>
                <w:b/>
                <w:bCs/>
                <w:sz w:val="26"/>
                <w:szCs w:val="26"/>
              </w:rPr>
              <w:br/>
            </w:r>
          </w:p>
        </w:tc>
      </w:tr>
      <w:tr w:rsidR="00F64B33" w:rsidRPr="00687F9C" w:rsidTr="00301D10">
        <w:trPr>
          <w:trHeight w:val="85"/>
          <w:tblCellSpacing w:w="0" w:type="dxa"/>
        </w:trPr>
        <w:tc>
          <w:tcPr>
            <w:tcW w:w="3348" w:type="dxa"/>
            <w:tcMar>
              <w:top w:w="0" w:type="dxa"/>
              <w:left w:w="108" w:type="dxa"/>
              <w:bottom w:w="0" w:type="dxa"/>
              <w:right w:w="108" w:type="dxa"/>
            </w:tcMar>
          </w:tcPr>
          <w:p w:rsidR="00F64B33" w:rsidRPr="00687F9C" w:rsidRDefault="00F64B33" w:rsidP="00301D10">
            <w:pPr>
              <w:spacing w:before="100" w:beforeAutospacing="1" w:after="120"/>
              <w:jc w:val="center"/>
              <w:rPr>
                <w:sz w:val="26"/>
                <w:szCs w:val="26"/>
              </w:rPr>
            </w:pPr>
            <w:r w:rsidRPr="00687F9C">
              <w:rPr>
                <w:sz w:val="26"/>
                <w:szCs w:val="26"/>
              </w:rPr>
              <w:t>Số: 63/2016/QĐ-UBND</w:t>
            </w:r>
          </w:p>
        </w:tc>
        <w:tc>
          <w:tcPr>
            <w:tcW w:w="6399" w:type="dxa"/>
            <w:tcMar>
              <w:top w:w="0" w:type="dxa"/>
              <w:left w:w="108" w:type="dxa"/>
              <w:bottom w:w="0" w:type="dxa"/>
              <w:right w:w="108" w:type="dxa"/>
            </w:tcMar>
          </w:tcPr>
          <w:p w:rsidR="00F64B33" w:rsidRPr="00687F9C" w:rsidRDefault="00F64B33" w:rsidP="00301D10">
            <w:pPr>
              <w:spacing w:before="100" w:beforeAutospacing="1" w:after="120"/>
              <w:jc w:val="center"/>
              <w:rPr>
                <w:sz w:val="26"/>
                <w:szCs w:val="26"/>
              </w:rPr>
            </w:pPr>
            <w:r w:rsidRPr="00687F9C">
              <w:rPr>
                <w:i/>
                <w:iCs/>
                <w:szCs w:val="26"/>
              </w:rPr>
              <w:t>Bến Tre, ngày 21 tháng 12 năm 2016</w:t>
            </w:r>
          </w:p>
        </w:tc>
      </w:tr>
    </w:tbl>
    <w:p w:rsidR="00F64B33" w:rsidRPr="00687F9C" w:rsidRDefault="00F64B33" w:rsidP="00F64B33">
      <w:pPr>
        <w:jc w:val="center"/>
        <w:rPr>
          <w:b/>
          <w:bCs/>
          <w:sz w:val="16"/>
          <w:szCs w:val="28"/>
        </w:rPr>
      </w:pPr>
    </w:p>
    <w:p w:rsidR="00F64B33" w:rsidRPr="00687F9C" w:rsidRDefault="00F64B33" w:rsidP="00F64B33">
      <w:pPr>
        <w:jc w:val="center"/>
        <w:rPr>
          <w:b/>
          <w:bCs/>
          <w:szCs w:val="28"/>
        </w:rPr>
      </w:pPr>
      <w:r w:rsidRPr="00687F9C">
        <w:rPr>
          <w:b/>
          <w:bCs/>
          <w:szCs w:val="28"/>
        </w:rPr>
        <w:t>QUYẾT ĐỊNH</w:t>
      </w:r>
    </w:p>
    <w:p w:rsidR="00F64B33" w:rsidRPr="00687F9C" w:rsidRDefault="00F64B33" w:rsidP="00F64B33">
      <w:pPr>
        <w:jc w:val="center"/>
        <w:rPr>
          <w:b/>
          <w:szCs w:val="28"/>
        </w:rPr>
      </w:pPr>
      <w:r w:rsidRPr="00687F9C">
        <w:rPr>
          <w:b/>
          <w:szCs w:val="28"/>
        </w:rPr>
        <w:t xml:space="preserve">Về việc quy định giá dịch vụ trông giữ xe </w:t>
      </w:r>
    </w:p>
    <w:p w:rsidR="00F64B33" w:rsidRPr="00687F9C" w:rsidRDefault="00F64B33" w:rsidP="00F64B33">
      <w:pPr>
        <w:jc w:val="center"/>
        <w:rPr>
          <w:b/>
          <w:szCs w:val="28"/>
        </w:rPr>
      </w:pPr>
      <w:r w:rsidRPr="00687F9C">
        <w:rPr>
          <w:b/>
          <w:szCs w:val="28"/>
        </w:rPr>
        <w:t>trên địa bàn tỉnh Bến Tre</w:t>
      </w:r>
    </w:p>
    <w:p w:rsidR="00F64B33" w:rsidRPr="006144F5" w:rsidRDefault="00F64B33" w:rsidP="00F64B33">
      <w:pPr>
        <w:spacing w:before="120"/>
        <w:jc w:val="center"/>
        <w:rPr>
          <w:b/>
          <w:bCs/>
          <w:sz w:val="10"/>
          <w:szCs w:val="28"/>
        </w:rPr>
      </w:pPr>
      <w:r w:rsidRPr="00687F9C">
        <w:rPr>
          <w:b/>
          <w:bCs/>
          <w:noProof/>
          <w:szCs w:val="28"/>
        </w:rPr>
        <w:pict>
          <v:line id="_x0000_s1026" style="position:absolute;left:0;text-align:left;z-index:251660288" from="192pt,2.95pt" to="284.65pt,2.95pt"/>
        </w:pict>
      </w:r>
      <w:r>
        <w:rPr>
          <w:b/>
          <w:bCs/>
          <w:sz w:val="20"/>
          <w:szCs w:val="28"/>
        </w:rPr>
        <w:t xml:space="preserve"> </w:t>
      </w:r>
    </w:p>
    <w:p w:rsidR="00F64B33" w:rsidRPr="00687F9C" w:rsidRDefault="00F64B33" w:rsidP="00F64B33">
      <w:pPr>
        <w:spacing w:before="120"/>
        <w:jc w:val="center"/>
        <w:rPr>
          <w:b/>
          <w:bCs/>
          <w:szCs w:val="28"/>
        </w:rPr>
      </w:pPr>
      <w:r w:rsidRPr="00687F9C">
        <w:rPr>
          <w:b/>
          <w:bCs/>
          <w:szCs w:val="28"/>
        </w:rPr>
        <w:t>ỦY BAN NHÂN DÂN TỈNH BẾN TRE</w:t>
      </w:r>
    </w:p>
    <w:p w:rsidR="00F64B33" w:rsidRPr="00687F9C" w:rsidRDefault="00F64B33" w:rsidP="00F64B33">
      <w:pPr>
        <w:spacing w:before="100"/>
        <w:ind w:firstLine="720"/>
        <w:jc w:val="both"/>
        <w:rPr>
          <w:i/>
          <w:iCs/>
          <w:szCs w:val="28"/>
        </w:rPr>
      </w:pPr>
      <w:r w:rsidRPr="00687F9C">
        <w:rPr>
          <w:i/>
          <w:iCs/>
          <w:szCs w:val="28"/>
        </w:rPr>
        <w:t>Căn cứ Luật Tổ chức chính quyền địa phương ngày 19 tháng 6 năm 2015;</w:t>
      </w:r>
    </w:p>
    <w:p w:rsidR="00F64B33" w:rsidRPr="00687F9C" w:rsidRDefault="00F64B33" w:rsidP="00F64B33">
      <w:pPr>
        <w:spacing w:before="100"/>
        <w:ind w:firstLine="720"/>
        <w:jc w:val="both"/>
        <w:rPr>
          <w:i/>
          <w:iCs/>
          <w:spacing w:val="-10"/>
          <w:szCs w:val="28"/>
        </w:rPr>
      </w:pPr>
      <w:r w:rsidRPr="00687F9C">
        <w:rPr>
          <w:i/>
          <w:iCs/>
          <w:spacing w:val="-10"/>
          <w:szCs w:val="28"/>
        </w:rPr>
        <w:t>Căn cứ Luật Ban hành văn bản quy phạm pháp luật ngày 22 tháng 6 năm 2015;</w:t>
      </w:r>
    </w:p>
    <w:p w:rsidR="00F64B33" w:rsidRPr="00687F9C" w:rsidRDefault="00F64B33" w:rsidP="00F64B33">
      <w:pPr>
        <w:spacing w:before="100"/>
        <w:ind w:firstLine="720"/>
        <w:jc w:val="both"/>
        <w:rPr>
          <w:i/>
          <w:spacing w:val="-6"/>
          <w:szCs w:val="16"/>
        </w:rPr>
      </w:pPr>
      <w:r w:rsidRPr="00687F9C">
        <w:rPr>
          <w:i/>
          <w:spacing w:val="-6"/>
          <w:szCs w:val="16"/>
          <w:lang w:val="vi-VN"/>
        </w:rPr>
        <w:t>Căn cứ Luật Giá ngày 20 tháng 6 năm 2012;</w:t>
      </w:r>
    </w:p>
    <w:p w:rsidR="00F64B33" w:rsidRPr="00687F9C" w:rsidRDefault="00F64B33" w:rsidP="00F64B33">
      <w:pPr>
        <w:spacing w:before="100"/>
        <w:ind w:firstLine="720"/>
        <w:jc w:val="both"/>
        <w:rPr>
          <w:i/>
          <w:spacing w:val="-6"/>
          <w:szCs w:val="16"/>
        </w:rPr>
      </w:pPr>
      <w:r w:rsidRPr="00687F9C">
        <w:rPr>
          <w:i/>
          <w:spacing w:val="-6"/>
          <w:szCs w:val="16"/>
          <w:lang w:val="vi-VN"/>
        </w:rPr>
        <w:t>Căn cứ Luật Phí và lệ phí số 97/2015/QH13 ngày 25 tháng 11 năm 2015;</w:t>
      </w:r>
    </w:p>
    <w:p w:rsidR="00F64B33" w:rsidRPr="00687F9C" w:rsidRDefault="00F64B33" w:rsidP="00F64B33">
      <w:pPr>
        <w:tabs>
          <w:tab w:val="left" w:pos="810"/>
        </w:tabs>
        <w:spacing w:before="100"/>
        <w:ind w:firstLine="720"/>
        <w:jc w:val="both"/>
        <w:rPr>
          <w:i/>
          <w:spacing w:val="-6"/>
          <w:szCs w:val="16"/>
        </w:rPr>
      </w:pPr>
      <w:r w:rsidRPr="00687F9C">
        <w:rPr>
          <w:i/>
          <w:spacing w:val="-6"/>
          <w:szCs w:val="16"/>
        </w:rPr>
        <w:t>Căn cứ Nghị định số 177/2013/NĐ-CP ngày 14 tháng 11 năm 2013 của Chính phủ quy định chi tiết và hướng dẫn thi hành một số điều của Luật Giá;</w:t>
      </w:r>
    </w:p>
    <w:p w:rsidR="00F64B33" w:rsidRPr="00687F9C" w:rsidRDefault="00F64B33" w:rsidP="00F64B33">
      <w:pPr>
        <w:spacing w:before="100"/>
        <w:ind w:firstLine="720"/>
        <w:jc w:val="both"/>
        <w:rPr>
          <w:i/>
          <w:spacing w:val="-6"/>
          <w:szCs w:val="16"/>
        </w:rPr>
      </w:pPr>
      <w:r w:rsidRPr="00687F9C">
        <w:rPr>
          <w:i/>
          <w:spacing w:val="-6"/>
          <w:szCs w:val="16"/>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F64B33" w:rsidRPr="00687F9C" w:rsidRDefault="00F64B33" w:rsidP="00F64B33">
      <w:pPr>
        <w:spacing w:before="100"/>
        <w:ind w:firstLine="720"/>
        <w:jc w:val="both"/>
        <w:rPr>
          <w:i/>
          <w:szCs w:val="28"/>
        </w:rPr>
      </w:pPr>
      <w:r w:rsidRPr="00687F9C">
        <w:rPr>
          <w:i/>
          <w:iCs/>
          <w:szCs w:val="28"/>
        </w:rPr>
        <w:t>Theo đề nghị của Giám đốc Sở Tài chính tại Tờ trình số 5964/TTr-STC ngày 16 tháng 12 năm 2016.</w:t>
      </w:r>
    </w:p>
    <w:p w:rsidR="00F64B33" w:rsidRPr="00687F9C" w:rsidRDefault="00F64B33" w:rsidP="00F64B33">
      <w:pPr>
        <w:spacing w:before="120" w:after="120"/>
        <w:jc w:val="center"/>
        <w:rPr>
          <w:b/>
          <w:bCs/>
          <w:szCs w:val="28"/>
          <w:lang w:val="nb-NO"/>
        </w:rPr>
      </w:pPr>
      <w:r w:rsidRPr="00687F9C">
        <w:rPr>
          <w:b/>
          <w:bCs/>
          <w:szCs w:val="28"/>
          <w:lang w:val="nb-NO"/>
        </w:rPr>
        <w:t>QUYẾT ĐỊNH:</w:t>
      </w:r>
    </w:p>
    <w:p w:rsidR="00F64B33" w:rsidRPr="00687F9C" w:rsidRDefault="00F64B33" w:rsidP="00F64B33">
      <w:pPr>
        <w:spacing w:before="100"/>
        <w:ind w:firstLine="709"/>
        <w:jc w:val="both"/>
        <w:rPr>
          <w:szCs w:val="28"/>
        </w:rPr>
      </w:pPr>
      <w:r w:rsidRPr="00687F9C">
        <w:rPr>
          <w:b/>
          <w:bCs/>
          <w:szCs w:val="28"/>
          <w:lang w:val="nb-NO"/>
        </w:rPr>
        <w:t>Điều 1. Phạm vi điều chỉnh</w:t>
      </w:r>
    </w:p>
    <w:p w:rsidR="00F64B33" w:rsidRPr="00687F9C" w:rsidRDefault="00F64B33" w:rsidP="00F64B33">
      <w:pPr>
        <w:spacing w:before="100"/>
        <w:ind w:firstLine="709"/>
        <w:jc w:val="both"/>
        <w:rPr>
          <w:szCs w:val="28"/>
        </w:rPr>
      </w:pPr>
      <w:r w:rsidRPr="00687F9C">
        <w:rPr>
          <w:szCs w:val="28"/>
          <w:lang w:val="nb-NO"/>
        </w:rPr>
        <w:t>Quy định giá dịch vụ trông giữ xe được thực hiện tại các điểm đỗ, bãi trông giữ xe công cộng phù hợp với quy hoạch, kế hoạch và quy định về kết cấu hạ tầng, giao thông, đô thị trên địa bàn tỉnh Bến Tre; các kho, bãi của đơn vị ra quyết định tạm giữ phương tiện giao thông của người sử dụng phương tiện giao thông vi phạm pháp luật về trật tự an toàn giao thông.</w:t>
      </w:r>
    </w:p>
    <w:p w:rsidR="00F64B33" w:rsidRPr="00687F9C" w:rsidRDefault="00F64B33" w:rsidP="00F64B33">
      <w:pPr>
        <w:spacing w:before="100"/>
        <w:ind w:firstLine="709"/>
        <w:jc w:val="both"/>
        <w:rPr>
          <w:szCs w:val="28"/>
        </w:rPr>
      </w:pPr>
      <w:r w:rsidRPr="00687F9C">
        <w:rPr>
          <w:b/>
          <w:bCs/>
          <w:szCs w:val="28"/>
          <w:lang w:val="nb-NO"/>
        </w:rPr>
        <w:t>Điều 2. Đối tượng thực hiện</w:t>
      </w:r>
    </w:p>
    <w:p w:rsidR="00F64B33" w:rsidRPr="00687F9C" w:rsidRDefault="00F64B33" w:rsidP="00F64B33">
      <w:pPr>
        <w:spacing w:before="100"/>
        <w:ind w:firstLine="709"/>
        <w:jc w:val="both"/>
        <w:rPr>
          <w:szCs w:val="28"/>
        </w:rPr>
      </w:pPr>
      <w:r w:rsidRPr="00687F9C">
        <w:rPr>
          <w:szCs w:val="28"/>
          <w:lang w:val="nb-NO"/>
        </w:rPr>
        <w:t>1. Đối tượng sử dụng dịch vụ trông giữ xe</w:t>
      </w:r>
    </w:p>
    <w:p w:rsidR="00F64B33" w:rsidRPr="00687F9C" w:rsidRDefault="00F64B33" w:rsidP="00F64B33">
      <w:pPr>
        <w:spacing w:before="100"/>
        <w:ind w:firstLine="709"/>
        <w:jc w:val="both"/>
        <w:rPr>
          <w:szCs w:val="28"/>
        </w:rPr>
      </w:pPr>
      <w:r w:rsidRPr="00687F9C">
        <w:rPr>
          <w:spacing w:val="-4"/>
          <w:szCs w:val="28"/>
          <w:lang w:val="nb-NO"/>
        </w:rPr>
        <w:t>a) Người có nhu cầu trông giữ xe tại các điểm đỗ, bãi trông giữ công cộng</w:t>
      </w:r>
      <w:r w:rsidRPr="00687F9C">
        <w:rPr>
          <w:szCs w:val="28"/>
          <w:lang w:val="nb-NO"/>
        </w:rPr>
        <w:t>;</w:t>
      </w:r>
    </w:p>
    <w:p w:rsidR="00F64B33" w:rsidRPr="00687F9C" w:rsidRDefault="00F64B33" w:rsidP="00F64B33">
      <w:pPr>
        <w:spacing w:before="100"/>
        <w:ind w:firstLine="709"/>
        <w:jc w:val="both"/>
        <w:rPr>
          <w:spacing w:val="-4"/>
          <w:szCs w:val="28"/>
        </w:rPr>
      </w:pPr>
      <w:r w:rsidRPr="00687F9C">
        <w:rPr>
          <w:spacing w:val="-4"/>
          <w:szCs w:val="28"/>
          <w:lang w:val="nb-NO"/>
        </w:rPr>
        <w:t>b) Người vi phạm pháp luật về trật tự an toàn giao thông bị tạm giữ phương tiện.</w:t>
      </w:r>
    </w:p>
    <w:p w:rsidR="00F64B33" w:rsidRPr="00687F9C" w:rsidRDefault="00F64B33" w:rsidP="00F64B33">
      <w:pPr>
        <w:spacing w:before="100"/>
        <w:ind w:firstLine="709"/>
        <w:jc w:val="both"/>
        <w:rPr>
          <w:szCs w:val="28"/>
        </w:rPr>
      </w:pPr>
      <w:r w:rsidRPr="00687F9C">
        <w:rPr>
          <w:szCs w:val="28"/>
          <w:lang w:val="nb-NO"/>
        </w:rPr>
        <w:t>2. Đơn vị thu giá dịch vụ trông giữ xe</w:t>
      </w:r>
    </w:p>
    <w:p w:rsidR="00F64B33" w:rsidRPr="00687F9C" w:rsidRDefault="00F64B33" w:rsidP="00F64B33">
      <w:pPr>
        <w:spacing w:before="100"/>
        <w:ind w:firstLine="709"/>
        <w:jc w:val="both"/>
        <w:rPr>
          <w:szCs w:val="28"/>
        </w:rPr>
      </w:pPr>
      <w:r w:rsidRPr="00687F9C">
        <w:rPr>
          <w:szCs w:val="28"/>
          <w:lang w:val="nb-NO"/>
        </w:rPr>
        <w:lastRenderedPageBreak/>
        <w:t>a) Cơ quan, đơn vị, tổ chức, cá nhân được cơ quan nhà nước có thẩm quyền cho phép trông giữ xe;</w:t>
      </w:r>
    </w:p>
    <w:p w:rsidR="00F64B33" w:rsidRPr="00687F9C" w:rsidRDefault="00F64B33" w:rsidP="00F64B33">
      <w:pPr>
        <w:spacing w:before="100"/>
        <w:ind w:firstLine="709"/>
        <w:jc w:val="both"/>
        <w:rPr>
          <w:szCs w:val="28"/>
        </w:rPr>
      </w:pPr>
      <w:r w:rsidRPr="00687F9C">
        <w:rPr>
          <w:szCs w:val="28"/>
          <w:lang w:val="nb-NO"/>
        </w:rPr>
        <w:t>b) Cơ quan có thẩm quyền quyết định tạm giữ phương tiện vi phạm pháp luật về trật tự an toàn giao thông.</w:t>
      </w:r>
    </w:p>
    <w:p w:rsidR="00F64B33" w:rsidRPr="00687F9C" w:rsidRDefault="00F64B33" w:rsidP="00F64B33">
      <w:pPr>
        <w:spacing w:before="100"/>
        <w:ind w:firstLine="709"/>
        <w:jc w:val="both"/>
        <w:rPr>
          <w:szCs w:val="28"/>
        </w:rPr>
      </w:pPr>
      <w:r w:rsidRPr="00687F9C">
        <w:rPr>
          <w:b/>
          <w:bCs/>
          <w:szCs w:val="28"/>
          <w:lang w:val="nb-NO"/>
        </w:rPr>
        <w:t>Điều 3. Mức thu giá dịch vụ trông giữ xe</w:t>
      </w:r>
    </w:p>
    <w:p w:rsidR="00F64B33" w:rsidRPr="00687F9C" w:rsidRDefault="00F64B33" w:rsidP="00F64B33">
      <w:pPr>
        <w:spacing w:before="100"/>
        <w:ind w:firstLine="709"/>
        <w:jc w:val="both"/>
        <w:rPr>
          <w:szCs w:val="28"/>
          <w:lang w:val="nb-NO"/>
        </w:rPr>
      </w:pPr>
      <w:r w:rsidRPr="00687F9C">
        <w:rPr>
          <w:szCs w:val="28"/>
          <w:lang w:val="nb-NO"/>
        </w:rPr>
        <w:t xml:space="preserve">1. Đối tượng sử dụng dịch vụ trông giữ xe </w:t>
      </w:r>
    </w:p>
    <w:p w:rsidR="00F64B33" w:rsidRPr="00687F9C" w:rsidRDefault="00F64B33" w:rsidP="00F64B33">
      <w:pPr>
        <w:spacing w:before="100" w:after="120"/>
        <w:ind w:firstLine="709"/>
        <w:jc w:val="both"/>
        <w:rPr>
          <w:szCs w:val="28"/>
          <w:lang w:val="nb-NO"/>
        </w:rPr>
      </w:pPr>
      <w:r w:rsidRPr="00687F9C">
        <w:rPr>
          <w:szCs w:val="28"/>
          <w:lang w:val="nb-NO"/>
        </w:rPr>
        <w:t>a) Đối với các điểm đỗ, bãi trông giữ xe thông thường, các điểm tổ chức lễ hội, hội chợ; các kho, bãi của đơn vị ra quyết định tạm giữ phương tiện giao thông của người sử dụng phương tiện giao thông vi phạm pháp luật về trật tự an toàn giao thông:</w:t>
      </w:r>
    </w:p>
    <w:tbl>
      <w:tblPr>
        <w:tblW w:w="0" w:type="auto"/>
        <w:tblCellSpacing w:w="0" w:type="dxa"/>
        <w:tblInd w:w="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790"/>
        <w:gridCol w:w="3106"/>
      </w:tblGrid>
      <w:tr w:rsidR="00F64B33" w:rsidRPr="00687F9C" w:rsidTr="00301D10">
        <w:trPr>
          <w:tblHeade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center"/>
              <w:rPr>
                <w:szCs w:val="28"/>
              </w:rPr>
            </w:pPr>
            <w:r w:rsidRPr="00687F9C">
              <w:rPr>
                <w:b/>
                <w:bCs/>
                <w:szCs w:val="28"/>
              </w:rPr>
              <w:t>Nội dung</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center"/>
              <w:rPr>
                <w:szCs w:val="28"/>
              </w:rPr>
            </w:pPr>
            <w:r w:rsidRPr="00687F9C">
              <w:rPr>
                <w:b/>
                <w:bCs/>
                <w:szCs w:val="28"/>
              </w:rPr>
              <w:t>Mức giá tối đa</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ind w:right="-43"/>
              <w:jc w:val="both"/>
              <w:rPr>
                <w:szCs w:val="28"/>
              </w:rPr>
            </w:pPr>
            <w:r w:rsidRPr="00687F9C">
              <w:rPr>
                <w:b/>
                <w:bCs/>
                <w:szCs w:val="28"/>
              </w:rPr>
              <w:t>1. Giá thu theo lượt ban ngày (từ 05 giờ đến 22 giờ)</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b/>
                <w:bCs/>
                <w:szCs w:val="28"/>
              </w:rPr>
              <w:t> </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a) Xe đạp, xe đạp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1.000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b) Xe mô tô, xe gắn máy, xe máy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3.000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c) Xe ô tô dưới 15 chỗ ngồi, xe tải dưới 05 tấn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15.000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144F5" w:rsidRDefault="00F64B33" w:rsidP="00301D10">
            <w:pPr>
              <w:pBdr>
                <w:between w:val="single" w:sz="4" w:space="1" w:color="auto"/>
              </w:pBdr>
              <w:jc w:val="both"/>
              <w:rPr>
                <w:spacing w:val="-2"/>
                <w:szCs w:val="28"/>
              </w:rPr>
            </w:pPr>
            <w:r w:rsidRPr="006144F5">
              <w:rPr>
                <w:spacing w:val="-2"/>
                <w:szCs w:val="28"/>
              </w:rPr>
              <w:t>d) Xe ô tô từ 15 chỗ ngồi trở lên, xe tải từ 05 tấn trở lên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20.000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144F5" w:rsidRDefault="00F64B33" w:rsidP="00301D10">
            <w:pPr>
              <w:pBdr>
                <w:between w:val="single" w:sz="4" w:space="1" w:color="auto"/>
              </w:pBdr>
              <w:jc w:val="both"/>
              <w:rPr>
                <w:spacing w:val="-4"/>
                <w:szCs w:val="28"/>
              </w:rPr>
            </w:pPr>
            <w:r w:rsidRPr="006144F5">
              <w:rPr>
                <w:b/>
                <w:bCs/>
                <w:spacing w:val="-4"/>
                <w:szCs w:val="28"/>
              </w:rPr>
              <w:t>2. Giá thu theo lượt ban đêm (từ sau 22 giờ đến trước 05 giờ hôm sau)</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 </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a) Xe đạp, xe đạp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2.000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b) Xe mô tô, xe gắn máy, xe máy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5.000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c) Xe ô tô dưới 15 chỗ ngồi, xe tải dưới 5 tấn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22.000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d) Xe ô tô từ 15 chỗ ngồi trở lên, xe tải từ 5 tấn trở lên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30.000 đồng/xe/lượt</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b/>
                <w:bCs/>
                <w:szCs w:val="28"/>
              </w:rPr>
              <w:t>3. Giá thu cả ngày và đêm</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b/>
                <w:bCs/>
                <w:szCs w:val="28"/>
              </w:rPr>
              <w:t> </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a) Xe đạp, xe đạp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3.000 đồng/ngày và đêm</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b) Xe mô tô, xe gắn máy, xe máy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7.000 đồng/ngày và đêm</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c) Xe ô tô dưới 15 chỗ ngồi, xe tải dưới 5 tấn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30.000 đồng/ngày và đêm</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d) Xe ô tô từ 15 chỗ ngồi trở lên, xe tải từ 5 tấn trở lên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40.000 đồng/ngày và đêm</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b/>
                <w:bCs/>
                <w:szCs w:val="28"/>
              </w:rPr>
              <w:t>4. Giá thu theo tháng</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 </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a) Xe đạp, xe đạp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30.000 đồng/xe/tháng</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b) Xe mô tô, xe gắn máy, xe máy điện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90.000 đồng/xe/tháng</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87F9C" w:rsidRDefault="00F64B33" w:rsidP="00301D10">
            <w:pPr>
              <w:pBdr>
                <w:between w:val="single" w:sz="4" w:space="1" w:color="auto"/>
              </w:pBdr>
              <w:jc w:val="both"/>
              <w:rPr>
                <w:szCs w:val="28"/>
              </w:rPr>
            </w:pPr>
            <w:r w:rsidRPr="00687F9C">
              <w:rPr>
                <w:szCs w:val="28"/>
              </w:rPr>
              <w:t>c) Xe ô tô dưới 15 chỗ ngồi, xe tải dưới 05 tấn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450.000 đồng/xe/tháng</w:t>
            </w:r>
          </w:p>
        </w:tc>
      </w:tr>
      <w:tr w:rsidR="00F64B33" w:rsidRPr="00687F9C" w:rsidTr="00301D10">
        <w:trPr>
          <w:tblCellSpacing w:w="0" w:type="dxa"/>
        </w:trPr>
        <w:tc>
          <w:tcPr>
            <w:tcW w:w="6379" w:type="dxa"/>
            <w:tcMar>
              <w:top w:w="0" w:type="dxa"/>
              <w:left w:w="108" w:type="dxa"/>
              <w:bottom w:w="0" w:type="dxa"/>
              <w:right w:w="108" w:type="dxa"/>
            </w:tcMar>
            <w:vAlign w:val="center"/>
          </w:tcPr>
          <w:p w:rsidR="00F64B33" w:rsidRPr="006144F5" w:rsidRDefault="00F64B33" w:rsidP="00301D10">
            <w:pPr>
              <w:pBdr>
                <w:between w:val="single" w:sz="4" w:space="1" w:color="auto"/>
              </w:pBdr>
              <w:jc w:val="both"/>
              <w:rPr>
                <w:spacing w:val="-2"/>
                <w:szCs w:val="28"/>
              </w:rPr>
            </w:pPr>
            <w:r w:rsidRPr="006144F5">
              <w:rPr>
                <w:spacing w:val="-2"/>
                <w:szCs w:val="28"/>
              </w:rPr>
              <w:t>d) Xe ô tô từ 15 chỗ ngồi trở lên, xe tải từ 05 tấn trở lên</w:t>
            </w:r>
          </w:p>
        </w:tc>
        <w:tc>
          <w:tcPr>
            <w:tcW w:w="3260" w:type="dxa"/>
            <w:tcMar>
              <w:top w:w="0" w:type="dxa"/>
              <w:left w:w="108" w:type="dxa"/>
              <w:bottom w:w="0" w:type="dxa"/>
              <w:right w:w="108" w:type="dxa"/>
            </w:tcMar>
            <w:vAlign w:val="center"/>
          </w:tcPr>
          <w:p w:rsidR="00F64B33" w:rsidRPr="00687F9C" w:rsidRDefault="00F64B33" w:rsidP="00301D10">
            <w:pPr>
              <w:pBdr>
                <w:between w:val="single" w:sz="4" w:space="1" w:color="auto"/>
              </w:pBdr>
              <w:jc w:val="right"/>
              <w:rPr>
                <w:szCs w:val="28"/>
              </w:rPr>
            </w:pPr>
            <w:r w:rsidRPr="00687F9C">
              <w:rPr>
                <w:szCs w:val="28"/>
              </w:rPr>
              <w:t>600.000 đồng/xe/tháng</w:t>
            </w:r>
          </w:p>
        </w:tc>
      </w:tr>
    </w:tbl>
    <w:p w:rsidR="00F64B33" w:rsidRDefault="00F64B33" w:rsidP="00F64B33">
      <w:pPr>
        <w:spacing w:before="100"/>
        <w:ind w:firstLine="709"/>
        <w:jc w:val="both"/>
        <w:rPr>
          <w:szCs w:val="28"/>
        </w:rPr>
      </w:pPr>
      <w:r w:rsidRPr="00687F9C">
        <w:rPr>
          <w:szCs w:val="28"/>
        </w:rPr>
        <w:t>b) Đối với các điểm đỗ, bãi trông giữ xe tại các bệnh viện, trường học, chợ, chung cư là những nơi có nhiều nhu cầu trông giữ xe:</w:t>
      </w:r>
    </w:p>
    <w:p w:rsidR="00F64B33" w:rsidRPr="006144F5" w:rsidRDefault="00F64B33" w:rsidP="00F64B33">
      <w:pPr>
        <w:spacing w:before="120"/>
        <w:ind w:firstLine="709"/>
        <w:jc w:val="both"/>
        <w:rPr>
          <w:sz w:val="6"/>
          <w:szCs w:val="28"/>
        </w:rPr>
      </w:pPr>
      <w:r>
        <w:rPr>
          <w:szCs w:val="28"/>
        </w:rPr>
        <w:t xml:space="preserve"> </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1"/>
        <w:gridCol w:w="3235"/>
      </w:tblGrid>
      <w:tr w:rsidR="00F64B33" w:rsidRPr="00687F9C" w:rsidTr="00301D10">
        <w:trPr>
          <w:tblHeader/>
          <w:tblCellSpacing w:w="0" w:type="dxa"/>
        </w:trPr>
        <w:tc>
          <w:tcPr>
            <w:tcW w:w="6237" w:type="dxa"/>
            <w:tcMar>
              <w:top w:w="0" w:type="dxa"/>
              <w:left w:w="108" w:type="dxa"/>
              <w:bottom w:w="0" w:type="dxa"/>
              <w:right w:w="108" w:type="dxa"/>
            </w:tcMar>
            <w:vAlign w:val="center"/>
          </w:tcPr>
          <w:p w:rsidR="00F64B33" w:rsidRPr="00687F9C" w:rsidRDefault="00F64B33" w:rsidP="00301D10">
            <w:pPr>
              <w:jc w:val="center"/>
              <w:rPr>
                <w:szCs w:val="28"/>
              </w:rPr>
            </w:pPr>
            <w:r w:rsidRPr="00687F9C">
              <w:rPr>
                <w:b/>
                <w:bCs/>
                <w:szCs w:val="28"/>
              </w:rPr>
              <w:lastRenderedPageBreak/>
              <w:t>Nội dung</w:t>
            </w:r>
          </w:p>
        </w:tc>
        <w:tc>
          <w:tcPr>
            <w:tcW w:w="3402" w:type="dxa"/>
            <w:tcMar>
              <w:top w:w="0" w:type="dxa"/>
              <w:left w:w="108" w:type="dxa"/>
              <w:bottom w:w="0" w:type="dxa"/>
              <w:right w:w="108" w:type="dxa"/>
            </w:tcMar>
            <w:vAlign w:val="center"/>
          </w:tcPr>
          <w:p w:rsidR="00F64B33" w:rsidRPr="00687F9C" w:rsidRDefault="00F64B33" w:rsidP="00301D10">
            <w:pPr>
              <w:jc w:val="center"/>
              <w:rPr>
                <w:szCs w:val="28"/>
              </w:rPr>
            </w:pPr>
            <w:r w:rsidRPr="00687F9C">
              <w:rPr>
                <w:b/>
                <w:bCs/>
                <w:szCs w:val="28"/>
              </w:rPr>
              <w:t>Mức giá tối đa</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AC08F9" w:rsidRDefault="00F64B33" w:rsidP="00301D10">
            <w:pPr>
              <w:ind w:right="-43"/>
              <w:jc w:val="both"/>
              <w:rPr>
                <w:spacing w:val="-4"/>
                <w:szCs w:val="28"/>
              </w:rPr>
            </w:pPr>
            <w:r w:rsidRPr="00AC08F9">
              <w:rPr>
                <w:b/>
                <w:bCs/>
                <w:spacing w:val="-4"/>
                <w:szCs w:val="28"/>
              </w:rPr>
              <w:t>1. Giá thu theo lượt ban ngày (từ 05 giờ đến 22 giờ)</w:t>
            </w:r>
          </w:p>
        </w:tc>
        <w:tc>
          <w:tcPr>
            <w:tcW w:w="3402" w:type="dxa"/>
            <w:tcMar>
              <w:top w:w="0" w:type="dxa"/>
              <w:left w:w="108" w:type="dxa"/>
              <w:bottom w:w="0" w:type="dxa"/>
              <w:right w:w="108" w:type="dxa"/>
            </w:tcMar>
            <w:vAlign w:val="center"/>
          </w:tcPr>
          <w:p w:rsidR="00F64B33" w:rsidRPr="00687F9C" w:rsidRDefault="00F64B33" w:rsidP="00301D10">
            <w:pPr>
              <w:jc w:val="both"/>
              <w:rPr>
                <w:szCs w:val="28"/>
              </w:rPr>
            </w:pPr>
            <w:r w:rsidRPr="00687F9C">
              <w:rPr>
                <w:b/>
                <w:bCs/>
                <w:szCs w:val="28"/>
              </w:rPr>
              <w:t> </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a) Xe đạp, xe đạp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1.000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b) Xe mô tô, xe gắn máy, xe máy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2.000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c) Xe ô tô dưới 15 chỗ ngồi, xe tải dưới 5 tấn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12.000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3E1C79" w:rsidRDefault="00F64B33" w:rsidP="00301D10">
            <w:pPr>
              <w:jc w:val="both"/>
              <w:rPr>
                <w:spacing w:val="-2"/>
                <w:szCs w:val="28"/>
              </w:rPr>
            </w:pPr>
            <w:r w:rsidRPr="003E1C79">
              <w:rPr>
                <w:spacing w:val="-2"/>
                <w:szCs w:val="28"/>
              </w:rPr>
              <w:t>d) Xe ô tô từ 15 chỗ ngồi trở lên, xe tải từ 5 tấn trở lên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17.000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b/>
                <w:bCs/>
                <w:szCs w:val="28"/>
              </w:rPr>
              <w:t>2. Giá thu theo lượt ban đêm (từ sau 22 giờ đến trước 05 giờ hôm sau)</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 </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a) Xe đạp, xe đạp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2.000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b) Xe mô tô, xe gắn máy, xe máy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3.000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c) Xe ô tô dưới 15 chỗ ngồi, xe tải dưới 5 tấn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18.000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3E1C79" w:rsidRDefault="00F64B33" w:rsidP="00301D10">
            <w:pPr>
              <w:jc w:val="both"/>
              <w:rPr>
                <w:spacing w:val="-2"/>
                <w:szCs w:val="28"/>
              </w:rPr>
            </w:pPr>
            <w:r w:rsidRPr="003E1C79">
              <w:rPr>
                <w:spacing w:val="-2"/>
                <w:szCs w:val="28"/>
              </w:rPr>
              <w:t>d) Xe ô tô từ 15 chỗ ngồi trở lên, xe tải từ 5 tấn trở lên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25.000 đồng/xe/lượt</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b/>
                <w:bCs/>
                <w:szCs w:val="28"/>
              </w:rPr>
              <w:t>3. Giá thu cả ngày và đêm</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b/>
                <w:bCs/>
                <w:szCs w:val="28"/>
              </w:rPr>
              <w:t> </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a) Xe đạp, xe đạp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3.000 đồng/ngày và đêm</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b) Xe mô tô, xe gắn máy, xe máy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4.000 đồng/ngày và đêm</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c) Xe ô tô dưới 15 chỗ ngồi, xe tải dưới 5 tấn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24.000 đồng/ngày và đêm</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3E1C79" w:rsidRDefault="00F64B33" w:rsidP="00301D10">
            <w:pPr>
              <w:jc w:val="both"/>
              <w:rPr>
                <w:spacing w:val="-2"/>
                <w:szCs w:val="28"/>
              </w:rPr>
            </w:pPr>
            <w:r w:rsidRPr="003E1C79">
              <w:rPr>
                <w:spacing w:val="-2"/>
                <w:szCs w:val="28"/>
              </w:rPr>
              <w:t>d) Xe ô tô từ 15 chỗ ngồi trở lên, xe tải từ 5 tấn trở lên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34.000 đồng/ngày và đêm</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b/>
                <w:bCs/>
                <w:szCs w:val="28"/>
              </w:rPr>
              <w:t>4. Giá thu theo tháng</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 </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a) Xe đạp, xe đạp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30.000 đồng/xe/tháng</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b) Xe mô tô, xe gắn máy, xe máy điện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60.000 đồng/xe/tháng</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87F9C" w:rsidRDefault="00F64B33" w:rsidP="00301D10">
            <w:pPr>
              <w:jc w:val="both"/>
              <w:rPr>
                <w:szCs w:val="28"/>
              </w:rPr>
            </w:pPr>
            <w:r w:rsidRPr="00687F9C">
              <w:rPr>
                <w:szCs w:val="28"/>
              </w:rPr>
              <w:t>c) Xe ô tô dưới 15 chỗ ngồi, xe tải dưới 5 tấn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360.000 đồng/xe/tháng</w:t>
            </w:r>
          </w:p>
        </w:tc>
      </w:tr>
      <w:tr w:rsidR="00F64B33" w:rsidRPr="00687F9C" w:rsidTr="00301D10">
        <w:trPr>
          <w:tblCellSpacing w:w="0" w:type="dxa"/>
        </w:trPr>
        <w:tc>
          <w:tcPr>
            <w:tcW w:w="6237" w:type="dxa"/>
            <w:tcMar>
              <w:top w:w="0" w:type="dxa"/>
              <w:left w:w="108" w:type="dxa"/>
              <w:bottom w:w="0" w:type="dxa"/>
              <w:right w:w="108" w:type="dxa"/>
            </w:tcMar>
            <w:vAlign w:val="center"/>
          </w:tcPr>
          <w:p w:rsidR="00F64B33" w:rsidRPr="006144F5" w:rsidRDefault="00F64B33" w:rsidP="00301D10">
            <w:pPr>
              <w:jc w:val="both"/>
              <w:rPr>
                <w:spacing w:val="-2"/>
                <w:szCs w:val="28"/>
              </w:rPr>
            </w:pPr>
            <w:r w:rsidRPr="006144F5">
              <w:rPr>
                <w:spacing w:val="-2"/>
                <w:szCs w:val="28"/>
              </w:rPr>
              <w:t>d) Xe ô tô từ 15 chỗ ngồi trở lên, xe tải từ 5 tấn trở lên</w:t>
            </w:r>
          </w:p>
        </w:tc>
        <w:tc>
          <w:tcPr>
            <w:tcW w:w="3402" w:type="dxa"/>
            <w:tcMar>
              <w:top w:w="0" w:type="dxa"/>
              <w:left w:w="108" w:type="dxa"/>
              <w:bottom w:w="0" w:type="dxa"/>
              <w:right w:w="108" w:type="dxa"/>
            </w:tcMar>
            <w:vAlign w:val="center"/>
          </w:tcPr>
          <w:p w:rsidR="00F64B33" w:rsidRPr="00687F9C" w:rsidRDefault="00F64B33" w:rsidP="00301D10">
            <w:pPr>
              <w:jc w:val="right"/>
              <w:rPr>
                <w:szCs w:val="28"/>
              </w:rPr>
            </w:pPr>
            <w:r w:rsidRPr="00687F9C">
              <w:rPr>
                <w:szCs w:val="28"/>
              </w:rPr>
              <w:t>510.000 đồng/xe/tháng</w:t>
            </w:r>
          </w:p>
        </w:tc>
      </w:tr>
    </w:tbl>
    <w:p w:rsidR="00F64B33" w:rsidRPr="00687F9C" w:rsidRDefault="00F64B33" w:rsidP="00F64B33">
      <w:pPr>
        <w:spacing w:before="100"/>
        <w:ind w:firstLine="709"/>
        <w:jc w:val="both"/>
        <w:rPr>
          <w:szCs w:val="28"/>
        </w:rPr>
      </w:pPr>
      <w:r w:rsidRPr="00687F9C">
        <w:rPr>
          <w:szCs w:val="28"/>
        </w:rPr>
        <w:t>Đối với các điểm đỗ, bãi trông giữ ô tô có điều kiện trông giữ những xe ô tô có chất lượng cao, yêu cầu về điều kiện phục vụ cao hơn những điều kiện trông giữ thông thường: Uỷ ban nhân dân tỉnh căn cứ vào chất lượng điểm, bãi và điều kiện phục vụ, quy định mức thu giá dịch vụ có hệ số điều chỉnh từ 1 đến 3 lần so với các mức thu quy định tại điểm a, b khoản này đối với những trường hợp có nhu cầu.</w:t>
      </w:r>
    </w:p>
    <w:p w:rsidR="00F64B33" w:rsidRPr="00687F9C" w:rsidRDefault="00F64B33" w:rsidP="00F64B33">
      <w:pPr>
        <w:spacing w:before="100"/>
        <w:ind w:firstLine="709"/>
        <w:jc w:val="both"/>
        <w:rPr>
          <w:szCs w:val="28"/>
        </w:rPr>
      </w:pPr>
      <w:r w:rsidRPr="00687F9C">
        <w:rPr>
          <w:szCs w:val="28"/>
        </w:rPr>
        <w:t>2. Mức thu tối đa tại các điểm đỗ, bãi trông giữ xe được đầu tư bằng nguồn vốn ngoài ngân sách nhà nước (bao gồm cả thuế giá trị gia tăng) được thực hiện theo quy định tại khoản 1 Điều này.</w:t>
      </w:r>
    </w:p>
    <w:p w:rsidR="00F64B33" w:rsidRPr="00687F9C" w:rsidRDefault="00F64B33" w:rsidP="00F64B33">
      <w:pPr>
        <w:spacing w:before="100"/>
        <w:ind w:firstLine="709"/>
        <w:jc w:val="both"/>
        <w:rPr>
          <w:szCs w:val="28"/>
        </w:rPr>
      </w:pPr>
      <w:r w:rsidRPr="00687F9C">
        <w:rPr>
          <w:szCs w:val="28"/>
        </w:rPr>
        <w:t>Riêng đối với các điểm đỗ, bãi trông giữ xe của siêu thị, mức thu tối đa (bao gồm cả thuế giá trị gia tăng) không vượt quá quy định tại Điểm b khoản 1 Điều này.</w:t>
      </w:r>
    </w:p>
    <w:p w:rsidR="00F64B33" w:rsidRPr="00687F9C" w:rsidRDefault="00F64B33" w:rsidP="00F64B33">
      <w:pPr>
        <w:spacing w:before="100"/>
        <w:ind w:firstLine="709"/>
        <w:jc w:val="both"/>
        <w:rPr>
          <w:b/>
          <w:bCs/>
          <w:szCs w:val="28"/>
        </w:rPr>
      </w:pPr>
      <w:r w:rsidRPr="00687F9C">
        <w:rPr>
          <w:b/>
          <w:bCs/>
          <w:szCs w:val="28"/>
        </w:rPr>
        <w:t>Điều 4. Quản lý và sử dụng giá dịch vụ trông giữ xe</w:t>
      </w:r>
    </w:p>
    <w:p w:rsidR="00F64B33" w:rsidRPr="00687F9C" w:rsidRDefault="00F64B33" w:rsidP="00F64B33">
      <w:pPr>
        <w:spacing w:before="100"/>
        <w:ind w:firstLine="709"/>
        <w:jc w:val="both"/>
        <w:rPr>
          <w:szCs w:val="28"/>
        </w:rPr>
      </w:pPr>
      <w:r w:rsidRPr="00687F9C">
        <w:rPr>
          <w:szCs w:val="28"/>
        </w:rPr>
        <w:lastRenderedPageBreak/>
        <w:t>1. Nguồn thu được xác định là doanh thu của tổ chức, cá nhân thu và thực hiện chính sách thuế theo đúng quy định của pháp luật.</w:t>
      </w:r>
    </w:p>
    <w:p w:rsidR="00F64B33" w:rsidRPr="00687F9C" w:rsidRDefault="00F64B33" w:rsidP="00F64B33">
      <w:pPr>
        <w:spacing w:before="100"/>
        <w:ind w:firstLine="709"/>
        <w:jc w:val="both"/>
      </w:pPr>
      <w:r w:rsidRPr="00687F9C">
        <w:t xml:space="preserve">2. Đối với </w:t>
      </w:r>
      <w:r w:rsidRPr="00687F9C">
        <w:rPr>
          <w:bCs/>
          <w:szCs w:val="28"/>
        </w:rPr>
        <w:t>dịch vụ trông giữ xe do</w:t>
      </w:r>
      <w:r w:rsidRPr="00687F9C">
        <w:t xml:space="preserve"> UBND cấp xã, quản lý và tổ chức thu hoặc khoán thu thì giá sử dụng dịch vụ được xác định là khoản thu thuộc NSNN và nộp 100% vào ngân sách xã theo quy định. Hàng năm, UBND xã lập dự toán các khoản chi phí cho công tác quản lý và duy tu, sửa chữa bãi trông giữ xe vào dự toán chung ngân sách xã trình HDND cùng cấp quyết định.</w:t>
      </w:r>
    </w:p>
    <w:p w:rsidR="00F64B33" w:rsidRPr="00687F9C" w:rsidRDefault="00F64B33" w:rsidP="00F64B33">
      <w:pPr>
        <w:spacing w:before="100"/>
        <w:ind w:firstLine="709"/>
        <w:jc w:val="both"/>
        <w:rPr>
          <w:bCs/>
          <w:szCs w:val="28"/>
        </w:rPr>
      </w:pPr>
      <w:r w:rsidRPr="00687F9C">
        <w:rPr>
          <w:b/>
          <w:bCs/>
          <w:szCs w:val="28"/>
        </w:rPr>
        <w:t>Điều 5. Điều khoản thi hành</w:t>
      </w:r>
      <w:r w:rsidRPr="00687F9C">
        <w:rPr>
          <w:bCs/>
          <w:szCs w:val="28"/>
        </w:rPr>
        <w:t xml:space="preserve"> </w:t>
      </w:r>
    </w:p>
    <w:p w:rsidR="00F64B33" w:rsidRPr="00687F9C" w:rsidRDefault="00F64B33" w:rsidP="00F64B33">
      <w:pPr>
        <w:spacing w:before="100"/>
        <w:ind w:firstLine="709"/>
        <w:jc w:val="both"/>
        <w:rPr>
          <w:b/>
          <w:bCs/>
          <w:szCs w:val="28"/>
        </w:rPr>
      </w:pPr>
      <w:r w:rsidRPr="00687F9C">
        <w:rPr>
          <w:bCs/>
          <w:szCs w:val="28"/>
        </w:rPr>
        <w:t>1. Chánh Văn phòng Ủy ban nhân dân tỉnh; Giám đốc các Sở: Tài chính, Giao thông và vận tải; Cục trưởng Cục thuế tỉnh; Chủ tịch Ủy ban nhân dân các huyện, thành phố; Chủ các bãi trông giữ xe công cộng, các cơ quan quản lý kho bãi tạm giữ phương tiện giao thông; các tổ chức và cá nhân có liên quan chịu trách nhiệm thi hành Quyết định này.</w:t>
      </w:r>
    </w:p>
    <w:p w:rsidR="00F64B33" w:rsidRPr="00687F9C" w:rsidRDefault="00F64B33" w:rsidP="00F64B33">
      <w:pPr>
        <w:spacing w:after="120"/>
        <w:ind w:firstLine="709"/>
        <w:jc w:val="both"/>
        <w:rPr>
          <w:bCs/>
          <w:sz w:val="16"/>
          <w:szCs w:val="28"/>
        </w:rPr>
      </w:pPr>
      <w:r w:rsidRPr="00687F9C">
        <w:rPr>
          <w:bCs/>
          <w:szCs w:val="28"/>
        </w:rPr>
        <w:t xml:space="preserve">2. Quyết định này có hiệu lực kể từ ngày 01 tháng 01 năm 2017./.  </w:t>
      </w:r>
    </w:p>
    <w:tbl>
      <w:tblPr>
        <w:tblW w:w="0" w:type="auto"/>
        <w:tblLook w:val="04A0"/>
      </w:tblPr>
      <w:tblGrid>
        <w:gridCol w:w="4515"/>
        <w:gridCol w:w="4489"/>
      </w:tblGrid>
      <w:tr w:rsidR="00F64B33" w:rsidRPr="00B85FDA" w:rsidTr="00301D10">
        <w:tc>
          <w:tcPr>
            <w:tcW w:w="4927" w:type="dxa"/>
            <w:shd w:val="clear" w:color="auto" w:fill="auto"/>
          </w:tcPr>
          <w:p w:rsidR="00F64B33" w:rsidRPr="00B85FDA" w:rsidRDefault="00F64B33" w:rsidP="00301D10">
            <w:pPr>
              <w:spacing w:before="120"/>
              <w:jc w:val="both"/>
              <w:rPr>
                <w:bCs/>
                <w:szCs w:val="28"/>
              </w:rPr>
            </w:pPr>
          </w:p>
        </w:tc>
        <w:tc>
          <w:tcPr>
            <w:tcW w:w="4820" w:type="dxa"/>
            <w:shd w:val="clear" w:color="auto" w:fill="auto"/>
          </w:tcPr>
          <w:p w:rsidR="00F64B33" w:rsidRPr="00B85FDA" w:rsidRDefault="00F64B33" w:rsidP="00301D10">
            <w:pPr>
              <w:jc w:val="center"/>
              <w:rPr>
                <w:b/>
                <w:szCs w:val="28"/>
              </w:rPr>
            </w:pPr>
            <w:r w:rsidRPr="00B85FDA">
              <w:rPr>
                <w:b/>
                <w:szCs w:val="28"/>
              </w:rPr>
              <w:t>TM. ỦY BAN NHÂN DÂN</w:t>
            </w:r>
          </w:p>
          <w:p w:rsidR="00F64B33" w:rsidRPr="00B85FDA" w:rsidRDefault="00F64B33" w:rsidP="00301D10">
            <w:pPr>
              <w:jc w:val="center"/>
              <w:rPr>
                <w:b/>
                <w:szCs w:val="28"/>
              </w:rPr>
            </w:pPr>
            <w:r w:rsidRPr="00B85FDA">
              <w:rPr>
                <w:b/>
                <w:szCs w:val="28"/>
              </w:rPr>
              <w:t>CHỦ TỊCH</w:t>
            </w:r>
          </w:p>
          <w:p w:rsidR="00F64B33" w:rsidRPr="006144F5" w:rsidRDefault="00F64B33" w:rsidP="00301D10">
            <w:pPr>
              <w:jc w:val="center"/>
              <w:rPr>
                <w:b/>
                <w:sz w:val="16"/>
                <w:szCs w:val="28"/>
              </w:rPr>
            </w:pPr>
          </w:p>
          <w:p w:rsidR="00F64B33" w:rsidRPr="00B85FDA" w:rsidRDefault="00F64B33" w:rsidP="00301D10">
            <w:pPr>
              <w:jc w:val="center"/>
              <w:rPr>
                <w:bCs/>
                <w:szCs w:val="28"/>
              </w:rPr>
            </w:pPr>
            <w:r w:rsidRPr="00B85FDA">
              <w:rPr>
                <w:b/>
                <w:szCs w:val="28"/>
              </w:rPr>
              <w:t>Cao Văn Trọng</w:t>
            </w:r>
          </w:p>
        </w:tc>
      </w:tr>
    </w:tbl>
    <w:p w:rsidR="007C0092" w:rsidRDefault="007C0092"/>
    <w:sectPr w:rsidR="007C0092" w:rsidSect="00F64B33">
      <w:pgSz w:w="11907" w:h="16839" w:code="9"/>
      <w:pgMar w:top="1418" w:right="1134" w:bottom="130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F64B33"/>
    <w:rsid w:val="007C0092"/>
    <w:rsid w:val="00F6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2017-01-09T19:20:00Z</dcterms:created>
  <dcterms:modified xsi:type="dcterms:W3CDTF">2017-01-09T19:20:00Z</dcterms:modified>
</cp:coreProperties>
</file>