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540"/>
        <w:gridCol w:w="5580"/>
      </w:tblGrid>
      <w:tr w:rsidR="00412BC1" w:rsidTr="00412BC1">
        <w:tc>
          <w:tcPr>
            <w:tcW w:w="2700" w:type="dxa"/>
            <w:hideMark/>
          </w:tcPr>
          <w:p w:rsidR="00412BC1" w:rsidRDefault="00412BC1">
            <w:pPr>
              <w:jc w:val="center"/>
              <w:rPr>
                <w:rFonts w:ascii="Times New Roman" w:hAnsi="Times New Roman"/>
                <w:b/>
                <w:color w:val="000000"/>
                <w:sz w:val="24"/>
              </w:rPr>
            </w:pPr>
            <w:r>
              <w:rPr>
                <w:rFonts w:ascii="Times New Roman" w:hAnsi="Times New Roman"/>
                <w:b/>
                <w:color w:val="000000"/>
                <w:sz w:val="24"/>
              </w:rPr>
              <w:t>UỶ BAN NHÂN DÂN</w:t>
            </w:r>
          </w:p>
          <w:p w:rsidR="00412BC1" w:rsidRDefault="00412BC1">
            <w:pPr>
              <w:jc w:val="center"/>
              <w:rPr>
                <w:rFonts w:ascii="Times New Roman" w:hAnsi="Times New Roman"/>
                <w:b/>
                <w:color w:val="000000"/>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412750</wp:posOffset>
                      </wp:positionH>
                      <wp:positionV relativeFrom="paragraph">
                        <wp:posOffset>244475</wp:posOffset>
                      </wp:positionV>
                      <wp:extent cx="622300" cy="0"/>
                      <wp:effectExtent l="1270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9.25pt" to="8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"/>
                  </w:pict>
                </mc:Fallback>
              </mc:AlternateContent>
            </w:r>
            <w:r>
              <w:rPr>
                <w:rFonts w:ascii="Times New Roman" w:hAnsi="Times New Roman"/>
                <w:b/>
                <w:color w:val="000000"/>
                <w:sz w:val="24"/>
              </w:rPr>
              <w:t>XÃ MỸ THẠNH</w:t>
            </w:r>
          </w:p>
        </w:tc>
        <w:tc>
          <w:tcPr>
            <w:tcW w:w="540" w:type="dxa"/>
          </w:tcPr>
          <w:p w:rsidR="00412BC1" w:rsidRDefault="00412BC1">
            <w:pPr>
              <w:jc w:val="center"/>
              <w:rPr>
                <w:rFonts w:ascii="Times New Roman" w:hAnsi="Times New Roman"/>
                <w:b/>
                <w:color w:val="FF0000"/>
              </w:rPr>
            </w:pPr>
          </w:p>
        </w:tc>
        <w:tc>
          <w:tcPr>
            <w:tcW w:w="5580" w:type="dxa"/>
            <w:hideMark/>
          </w:tcPr>
          <w:p w:rsidR="00412BC1" w:rsidRDefault="00412BC1">
            <w:pPr>
              <w:ind w:right="-108"/>
              <w:jc w:val="center"/>
              <w:rPr>
                <w:rFonts w:ascii="Times New Roman" w:hAnsi="Times New Roman"/>
                <w:b/>
                <w:color w:val="000000"/>
                <w:sz w:val="24"/>
              </w:rPr>
            </w:pPr>
            <w:r>
              <w:rPr>
                <w:rFonts w:ascii="Times New Roman" w:hAnsi="Times New Roman"/>
                <w:b/>
                <w:color w:val="000000"/>
                <w:sz w:val="24"/>
              </w:rPr>
              <w:t>CỘNG HOÀ XÃ HỘI CHỦ NGHĨA VIỆT NAM</w:t>
            </w:r>
          </w:p>
          <w:p w:rsidR="00412BC1" w:rsidRDefault="00412BC1">
            <w:pPr>
              <w:jc w:val="center"/>
              <w:rPr>
                <w:rFonts w:ascii="Times New Roman" w:hAnsi="Times New Roman"/>
                <w:b/>
                <w:color w:val="000000"/>
                <w:sz w:val="26"/>
                <w:szCs w:val="26"/>
              </w:rPr>
            </w:pPr>
            <w:r>
              <w:rPr>
                <w:rFonts w:ascii="Times New Roman" w:hAnsi="Times New Roman"/>
                <w:b/>
                <w:color w:val="000000"/>
                <w:sz w:val="26"/>
                <w:szCs w:val="26"/>
              </w:rPr>
              <w:t>Độc lập - Tự do - Hạnh phúc</w:t>
            </w:r>
          </w:p>
          <w:p w:rsidR="00412BC1" w:rsidRDefault="00412BC1">
            <w:pPr>
              <w:jc w:val="center"/>
              <w:rPr>
                <w:rFonts w:ascii="Times New Roman" w:hAnsi="Times New Roman"/>
                <w:b/>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702945</wp:posOffset>
                      </wp:positionH>
                      <wp:positionV relativeFrom="paragraph">
                        <wp:posOffset>16510</wp:posOffset>
                      </wp:positionV>
                      <wp:extent cx="1971675" cy="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3pt" to="21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s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"/>
                  </w:pict>
                </mc:Fallback>
              </mc:AlternateContent>
            </w:r>
          </w:p>
        </w:tc>
      </w:tr>
      <w:tr w:rsidR="00412BC1" w:rsidTr="00412BC1">
        <w:tc>
          <w:tcPr>
            <w:tcW w:w="2700" w:type="dxa"/>
            <w:hideMark/>
          </w:tcPr>
          <w:p w:rsidR="00412BC1" w:rsidRDefault="00412BC1">
            <w:pPr>
              <w:jc w:val="center"/>
              <w:rPr>
                <w:rFonts w:ascii="Times New Roman" w:hAnsi="Times New Roman"/>
                <w:color w:val="000000"/>
                <w:sz w:val="26"/>
                <w:szCs w:val="26"/>
              </w:rPr>
            </w:pPr>
            <w:r>
              <w:rPr>
                <w:rFonts w:ascii="Times New Roman" w:hAnsi="Times New Roman"/>
                <w:color w:val="000000"/>
                <w:sz w:val="26"/>
                <w:szCs w:val="26"/>
              </w:rPr>
              <w:t>Số:   554 /BC-UBND</w:t>
            </w:r>
          </w:p>
        </w:tc>
        <w:tc>
          <w:tcPr>
            <w:tcW w:w="540" w:type="dxa"/>
          </w:tcPr>
          <w:p w:rsidR="00412BC1" w:rsidRDefault="00412BC1">
            <w:pPr>
              <w:jc w:val="center"/>
              <w:rPr>
                <w:rFonts w:ascii="Times New Roman" w:hAnsi="Times New Roman"/>
                <w:color w:val="FF0000"/>
                <w:sz w:val="26"/>
              </w:rPr>
            </w:pPr>
          </w:p>
        </w:tc>
        <w:tc>
          <w:tcPr>
            <w:tcW w:w="5580" w:type="dxa"/>
            <w:hideMark/>
          </w:tcPr>
          <w:p w:rsidR="00412BC1" w:rsidRDefault="00412BC1">
            <w:pPr>
              <w:jc w:val="center"/>
              <w:rPr>
                <w:rFonts w:ascii="Times New Roman" w:hAnsi="Times New Roman"/>
                <w:i/>
                <w:color w:val="000000"/>
                <w:sz w:val="26"/>
              </w:rPr>
            </w:pPr>
            <w:r>
              <w:rPr>
                <w:rFonts w:ascii="Times New Roman" w:hAnsi="Times New Roman"/>
                <w:i/>
                <w:color w:val="000000"/>
                <w:sz w:val="26"/>
              </w:rPr>
              <w:t>Mỹ Thạnh, ngày  11  tháng  10  năm 2016</w:t>
            </w:r>
          </w:p>
        </w:tc>
      </w:tr>
    </w:tbl>
    <w:p w:rsidR="00412BC1" w:rsidRDefault="00412BC1" w:rsidP="00412BC1">
      <w:pPr>
        <w:keepNext/>
        <w:tabs>
          <w:tab w:val="left" w:pos="8640"/>
        </w:tabs>
        <w:jc w:val="both"/>
        <w:outlineLvl w:val="0"/>
        <w:rPr>
          <w:rFonts w:ascii="Times New Roman" w:hAnsi="Times New Roman"/>
          <w:b/>
          <w:bCs/>
          <w:color w:val="000000"/>
          <w:szCs w:val="28"/>
        </w:rPr>
      </w:pPr>
    </w:p>
    <w:p w:rsidR="00412BC1" w:rsidRDefault="00412BC1" w:rsidP="00412BC1">
      <w:pPr>
        <w:keepNext/>
        <w:jc w:val="center"/>
        <w:outlineLvl w:val="0"/>
        <w:rPr>
          <w:rFonts w:ascii="Times New Roman" w:hAnsi="Times New Roman"/>
          <w:b/>
          <w:bCs/>
          <w:color w:val="000000"/>
          <w:szCs w:val="28"/>
        </w:rPr>
      </w:pPr>
      <w:r>
        <w:rPr>
          <w:rFonts w:ascii="Times New Roman" w:hAnsi="Times New Roman"/>
          <w:b/>
          <w:bCs/>
          <w:color w:val="000000"/>
          <w:szCs w:val="28"/>
        </w:rPr>
        <w:t>BÁO CÁO</w:t>
      </w:r>
    </w:p>
    <w:p w:rsidR="00412BC1" w:rsidRDefault="00412BC1" w:rsidP="00412BC1">
      <w:pPr>
        <w:keepNext/>
        <w:jc w:val="center"/>
        <w:outlineLvl w:val="0"/>
        <w:rPr>
          <w:rFonts w:ascii="Times New Roman" w:hAnsi="Times New Roman"/>
          <w:b/>
          <w:bCs/>
          <w:color w:val="000000"/>
          <w:szCs w:val="28"/>
        </w:rPr>
      </w:pPr>
      <w:r>
        <w:rPr>
          <w:rFonts w:ascii="Times New Roman" w:hAnsi="Times New Roman"/>
          <w:b/>
          <w:bCs/>
          <w:color w:val="000000"/>
          <w:szCs w:val="28"/>
        </w:rPr>
        <w:t>Kết quả thực hiện nhiệm vụ quản lý nhà nước về thanh niên năm 2016</w:t>
      </w:r>
    </w:p>
    <w:p w:rsidR="00412BC1" w:rsidRDefault="00412BC1" w:rsidP="00412BC1">
      <w:pPr>
        <w:keepNext/>
        <w:jc w:val="center"/>
        <w:outlineLvl w:val="0"/>
        <w:rPr>
          <w:rFonts w:ascii="Times New Roman" w:hAnsi="Times New Roman"/>
          <w:b/>
          <w:bCs/>
          <w:color w:val="000000"/>
          <w:szCs w:val="28"/>
        </w:rPr>
      </w:pPr>
      <w:r>
        <w:rPr>
          <w:rFonts w:ascii="Times New Roman" w:hAnsi="Times New Roman"/>
          <w:b/>
          <w:bCs/>
          <w:color w:val="000000"/>
          <w:szCs w:val="28"/>
        </w:rPr>
        <w:t>và phương hướng nhiệm vụ năm 2017</w:t>
      </w:r>
    </w:p>
    <w:p w:rsidR="00412BC1" w:rsidRDefault="00412BC1" w:rsidP="00412BC1">
      <w:pPr>
        <w:jc w:val="center"/>
        <w:rPr>
          <w:rFonts w:ascii="Times New Roman" w:hAnsi="Times New Roman"/>
          <w:b/>
          <w:bCs/>
          <w:color w:val="000000"/>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2066925</wp:posOffset>
                </wp:positionH>
                <wp:positionV relativeFrom="paragraph">
                  <wp:posOffset>81280</wp:posOffset>
                </wp:positionV>
                <wp:extent cx="148590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6.4pt" to="27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"/>
            </w:pict>
          </mc:Fallback>
        </mc:AlternateContent>
      </w:r>
      <w:r>
        <w:rPr>
          <w:rFonts w:ascii="Times New Roman" w:hAnsi="Times New Roman"/>
          <w:b/>
          <w:bCs/>
          <w:color w:val="000000"/>
          <w:szCs w:val="28"/>
        </w:rPr>
        <w:tab/>
      </w:r>
    </w:p>
    <w:p w:rsidR="00412BC1" w:rsidRDefault="00412BC1" w:rsidP="00412BC1">
      <w:pPr>
        <w:spacing w:before="120" w:after="120" w:line="300" w:lineRule="exact"/>
        <w:ind w:firstLine="720"/>
        <w:jc w:val="both"/>
        <w:rPr>
          <w:rFonts w:ascii="Times New Roman" w:hAnsi="Times New Roman"/>
          <w:color w:val="000000"/>
          <w:szCs w:val="28"/>
        </w:rPr>
      </w:pPr>
      <w:r>
        <w:rPr>
          <w:rFonts w:ascii="Times New Roman" w:hAnsi="Times New Roman"/>
          <w:color w:val="000000"/>
          <w:szCs w:val="28"/>
        </w:rPr>
        <w:t>Thực hiện Công văn số 3092/UBND-VHXN ngày 05 tháng 10 năm 2016 của Ủy ban nhân dân huyện và Kế hoạch số 235/KH-UBND ngày 26 tháng 4 năm 2016 của Ủy ban nhân dân xã về thực hiện nhiệm vụ trọng tâm trong công tác quản lý nhà nước về thanh niên năm 2016.</w:t>
      </w:r>
    </w:p>
    <w:p w:rsidR="00412BC1" w:rsidRDefault="00412BC1" w:rsidP="00412BC1">
      <w:pPr>
        <w:spacing w:before="120" w:after="120" w:line="300" w:lineRule="exact"/>
        <w:ind w:firstLine="720"/>
        <w:jc w:val="both"/>
        <w:rPr>
          <w:rFonts w:ascii="Times New Roman" w:hAnsi="Times New Roman"/>
          <w:color w:val="000000"/>
          <w:szCs w:val="28"/>
        </w:rPr>
      </w:pPr>
      <w:r>
        <w:rPr>
          <w:rFonts w:ascii="Times New Roman" w:hAnsi="Times New Roman"/>
          <w:color w:val="000000"/>
          <w:szCs w:val="28"/>
        </w:rPr>
        <w:t>Năm 2016 Ủy ban nhân dân xã Mỹ Thạnh đã tổ chức triển khai thực hiện nhiệm vụ quản lý nhà nước về thanh niên và kết quả cụ thể như sau:</w:t>
      </w:r>
    </w:p>
    <w:p w:rsidR="00412BC1" w:rsidRDefault="00412BC1" w:rsidP="00412BC1">
      <w:pPr>
        <w:spacing w:before="120" w:after="120" w:line="300" w:lineRule="exact"/>
        <w:ind w:firstLine="720"/>
        <w:jc w:val="both"/>
        <w:rPr>
          <w:rFonts w:ascii="Times New Roman" w:hAnsi="Times New Roman"/>
          <w:b/>
          <w:bCs/>
          <w:color w:val="000000"/>
          <w:szCs w:val="28"/>
        </w:rPr>
      </w:pPr>
      <w:r>
        <w:rPr>
          <w:rFonts w:ascii="Times New Roman" w:hAnsi="Times New Roman"/>
          <w:b/>
          <w:bCs/>
          <w:color w:val="000000"/>
          <w:szCs w:val="28"/>
        </w:rPr>
        <w:t>I. KẾT QUẢ THỰC HIỆN</w:t>
      </w:r>
    </w:p>
    <w:p w:rsidR="00412BC1" w:rsidRDefault="00412BC1" w:rsidP="00412BC1">
      <w:pPr>
        <w:spacing w:before="120" w:after="120" w:line="300" w:lineRule="exact"/>
        <w:ind w:firstLine="720"/>
        <w:jc w:val="both"/>
        <w:rPr>
          <w:rFonts w:ascii="Times New Roman" w:hAnsi="Times New Roman"/>
          <w:b/>
          <w:bCs/>
          <w:color w:val="000000"/>
          <w:szCs w:val="28"/>
          <w:lang w:val="en-GB"/>
        </w:rPr>
      </w:pPr>
      <w:r>
        <w:rPr>
          <w:rFonts w:ascii="Times New Roman" w:hAnsi="Times New Roman"/>
          <w:b/>
          <w:bCs/>
          <w:color w:val="000000"/>
          <w:szCs w:val="28"/>
          <w:lang w:val="en-GB"/>
        </w:rPr>
        <w:t>1. Công tác triển khai, phổ biến các văn bản của Trung ương, của tỉnh, huyện liên quan đến công tác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Tiếp tục tổ chức triển khai các văn bản của trên, cụ thể Nghị quyết số 45/NQ-CP ngày 11 tháng 9 năm 2009 của Chính phủ về việc ban hành Chương trình hành động thực hiện Nghị quyết số 25-NQ/TW của Ban chấp hành Trung Ương Đảng (khóa X) “về tăng cường sự lãnh đạo của Đảng đối với công tác thanh niên trong thời kỳ đẩy mạnh công nghiệp hóa, hiện đại hóa đất nước”, Chương trình hành động của Huyện ủy, Kế hoạch số 1077/KH-UBND của Ủy ban nhân dân huyện về thực hiện Chương trình phát triển thanh niên huyện Giồng Trôm giai đoạn 2016-2020, Kế hoạch số 1078/KH-UBND ngày 20 tháng 4 năm 2016 của Ủy ban nhân dân huyện; Ủy ban nhân dân xã xây dựng kế hoạch số 236/KH-UBND ngày 26 tháng 4 năm 2016 thực hiện Chương trình phát triển thanh niên xã Mỹ Thạnh giai đoạn 2016-2020, kế hoạch số 235/KH-UBND về thực hiện nhiệm vụ trọng tâm trong công tác quản lý nhà nước về thanh niên năm 2016 và tổ chức triển khai sâu rộng đến từng ngành Đoàn thể, cán bộ, công chức, người hoạt động không chuyên trách từ xã đến ấp để quán triệt và phối hợp thực hiện, đã triển khai trong cán bộ, công chức, người hoạt động không chuyên trách đạt 92,85% (65/70), triển khai trong Đoàn viên, hội viên các đoàn thể đạt 81,01% (1758/2170).</w:t>
      </w:r>
    </w:p>
    <w:p w:rsidR="00412BC1" w:rsidRDefault="00412BC1" w:rsidP="00412BC1">
      <w:pPr>
        <w:spacing w:before="120" w:after="120" w:line="300" w:lineRule="exact"/>
        <w:ind w:firstLine="720"/>
        <w:jc w:val="both"/>
        <w:rPr>
          <w:rFonts w:ascii="Times New Roman" w:hAnsi="Times New Roman"/>
          <w:b/>
          <w:bCs/>
          <w:color w:val="000000"/>
          <w:szCs w:val="28"/>
          <w:lang w:val="en-GB"/>
        </w:rPr>
      </w:pPr>
      <w:r>
        <w:rPr>
          <w:rFonts w:ascii="Times New Roman" w:hAnsi="Times New Roman"/>
          <w:b/>
          <w:bCs/>
          <w:color w:val="000000"/>
          <w:szCs w:val="28"/>
          <w:lang w:val="en-GB"/>
        </w:rPr>
        <w:t>2. Kết quả quản lý nhà nước về công tác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xml:space="preserve">- Phối hợp Mặt trận Tổ quốc các Đoàn thể tăng cường công tác quản lý nhà nước về thanh niên và thực hiện công tác thanh niên từng bước đáp ứng cho yêu cầu cho sự nghiệp “công nghiệp hóa - hiện đại hóa đất nước”. Trong xây dựng quy hoạch, đào tạo, các chương trình mục tiêu của các ngành đoàn thể đều nêu rõ vai trò trách nhiệm của thanh niên, tạo điều kiện cho thanh niên thể hiện tính tiên phong, gương mẫu đi đầu trong các phong trào hành động cách mạng ở địa phương cũng như phấn đấu hoàn thành nhiệm vụ được </w:t>
      </w:r>
      <w:r>
        <w:rPr>
          <w:rFonts w:ascii="Times New Roman" w:hAnsi="Times New Roman"/>
          <w:bCs/>
          <w:color w:val="000000"/>
          <w:szCs w:val="28"/>
          <w:lang w:val="en-GB"/>
        </w:rPr>
        <w:lastRenderedPageBreak/>
        <w:t>giao góp phần thực hiện đạt hiệu quả các chi tiêu về phát triển kinh tế xã hội xã nhà.</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Phối hợp cùng Ban Dân số, Trạm y tế tổ chức 02 cuộc tuyên truyền, triển khai thực hiện Luật Bảo vệ, chăm sóc, giáo dục trẻ em, có trên 49 người tham dự, tạo điều kiện cho các em phát triển toàn diện trở thành những thanh niên có thể lực, trí lực đáp ứng cho yêu cầu đẩy mạnh công nghiệp hóa – hiện đại hóa.</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Đưa 44 vận động viên là thanh niên tham gia giải bóng đá mini và giải bóng đá sân 11 người do huyện tổ chức, tổ chức Ngày chạy Olympic vì sức khỏe toàn dân có trên 400 thanh niên tham dự và trên 35 trận giao lưu bóng đá, bóng chuyền, bóng chuyền hơi nam, nữ thu hút trên 300 lượt thanh niên tham dự nhằm nâng cao đời sống tinh thần và rèn luyện thể chất cho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Triển khai kế hoạch và mở 2 lớp đào tạo nghề, giải quyết việc làm theo Quyết định 1956 có 48 thanh niên tham dự, chứng chuyển hồ sơ xin việc làm cho 435 thanh niên, tư vấn giới thiệu hợp tác lao động Nhật Bản cho 14 thanh niên, đưa 15 thanh niên tham dự ngày hội việc làm và xuất khẩu lao động do Sở Lao động Thương binh xã hội tỉnh tổ chức, Phối hợp Công ty tư vấn xuất khẩu lao động MêKông tổ chức tư vấn xuất khẩu lao động có 150 thanh niên tham dự nhằm góp phần giải quyết việc làm tăng thu nhập nâng cao đời sống vật chất tinh thần cho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Đưa đào tạo, bồi dưỡng nâng cao trình độ lý luận chính trị, chuyên môn nghiệp vụ cho 18 cán bộ, Đảng viên, công chức, người hoạt động không chuyên trách chủ yếu là cán bộ trẻ, khỏe, có năng lực nhằm nâng cao chất lượng đội ngũ cán bộ, công chức ở địa phương.</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Phối hợp cùng Ban Giám hiệu trường vận động 4 học sinh bỏ học trở lại lớp, tư vấn cho 121 học sinh khối 9 vào Trường Trung cấp nghề Bến Tre, 133/133 được cấp chứng chỉ nghề phổ thông, hoàn chỉnh chương trình phổ cập bậc tiểu học và trung học cơ sở.</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Phát động các phong trào thi đua trong nhà trường “thi đua xây dựng trường học thân thiện, học sinh tích cực” “mỗi thầy giáo, cô giáo là tấm gương đạo đức tự học và sáng tạo” giáo viên và học sinh tích cực thi đua dạy tốt, học tốt, có các chương trình hỗ trợ, khuyến khích học sinh giỏi, hiếu học nhằm phát huy tài năng trẻ phục vụ cho đất nước.</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Phối hợp Ngân hàng chính sách cho vay trong học sinh, sinh viên tạo điều kiện cho học sinh học tốt, đã cho vay 16 sinh viên, số tiền 186.000.000 đồng, lũy kế 75 sinh viên với tổng số tiền 1.039.751.560 đồng.</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
          <w:bCs/>
          <w:color w:val="000000"/>
          <w:szCs w:val="28"/>
          <w:lang w:val="en-GB"/>
        </w:rPr>
        <w:t>3. Kết quả thực hiện các nhiệm vụ</w:t>
      </w:r>
    </w:p>
    <w:p w:rsidR="00412BC1" w:rsidRDefault="00412BC1" w:rsidP="00412BC1">
      <w:pPr>
        <w:spacing w:before="120" w:after="120" w:line="300" w:lineRule="exact"/>
        <w:ind w:firstLine="720"/>
        <w:jc w:val="both"/>
        <w:rPr>
          <w:rFonts w:ascii="Times New Roman" w:hAnsi="Times New Roman"/>
          <w:b/>
          <w:bCs/>
          <w:color w:val="000000"/>
          <w:szCs w:val="28"/>
          <w:lang w:val="en-GB"/>
        </w:rPr>
      </w:pPr>
      <w:r>
        <w:rPr>
          <w:rFonts w:ascii="Times New Roman" w:hAnsi="Times New Roman"/>
          <w:b/>
          <w:bCs/>
          <w:color w:val="000000"/>
          <w:szCs w:val="28"/>
          <w:lang w:val="en-GB"/>
        </w:rPr>
        <w:t>Thực hiện Chương trình phát triển thanh niên và các mục tiêu, chỉ tiêu phát triển thanh niên năm 2016 tại cơ quan, đơn vị</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lastRenderedPageBreak/>
        <w:t>- Có 100% (40/40) cán bộ, công chức, người hoạt động không chuyên trách và 72,66% (202/278) Đoàn viên thanh niên tham gia học nghị quyết, chính sách pháp luật của nhà nước có liên quan đến công tác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Phối Ban chấp hành Đoàn, Ban Giám hiệu trường tổ chức tuyên truyền các nội dung cơ bản về phòng chống tội phạm, tệ nạn xã hội, an toàn giao thông có trên 83,46% (1050/1258) Đoàn viên thanh niên, học sinh tham dự, kéo giảm được số thanh niên vi phạm pháp luật, xây dựng xã lành mạnh không có tệ nạn ma túy, mại dâm.</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Có 64,79% (1406/2170) thanh niên trong độ tuổi lao động đạt trình độ học vấn Trung học phổ thông, tỷ lệ qua đào tạo nghề đạt………. 19,8% (1221/6154) và được hướng dẫn, phổ biến nâng cao năng lực ứng dụng khoa học công nghệ vào sản xuất.</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Tổ chức học tập có hiệu quả chương trình ngoại ngữ và được trang bị kiến thức cơ bản về kỹ năng sống ở học sinh trường Trung học cơ sở, chất lượng giáo dục được nâng cao, tỷ lệ tốt nghiệp đạt 100% (121/121).</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Nâng cao chất lượng của Hội đồng phổ biến giáo dục pháp luật thực hiện tốt công tác tuyên truyền trong thanh thiếu niên về kiến thức bình đẳng giới, sức khỏe sinh sản, phòng chống bạo lực gia đình…</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Phối hợp Ban chấp hành Xã Đoàn tổ chức họp mặt sinh viên lần 4 năm 2016 có 85 sinh viên tham dự.</w:t>
      </w:r>
    </w:p>
    <w:p w:rsidR="00412BC1" w:rsidRDefault="00412BC1" w:rsidP="00412BC1">
      <w:pPr>
        <w:spacing w:before="120" w:after="120" w:line="300" w:lineRule="exact"/>
        <w:ind w:firstLine="720"/>
        <w:jc w:val="both"/>
        <w:rPr>
          <w:rFonts w:ascii="Times New Roman" w:hAnsi="Times New Roman"/>
          <w:b/>
          <w:bCs/>
          <w:color w:val="000000"/>
          <w:szCs w:val="28"/>
          <w:lang w:val="en-GB"/>
        </w:rPr>
      </w:pPr>
      <w:r>
        <w:rPr>
          <w:rFonts w:ascii="Times New Roman" w:hAnsi="Times New Roman"/>
          <w:b/>
          <w:bCs/>
          <w:color w:val="000000"/>
          <w:szCs w:val="28"/>
          <w:lang w:val="en-GB"/>
        </w:rPr>
        <w:t>4. Kết quả thực hiện Nghị quyết số 45/NQ-CP, Kế hoạch số 4087/KH-UBND ngày 11/10/2010 của Ủy ban nhân dân tỉnh và thực hiện các cơ chế, chính sách có liên quan đến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Qua triển khai thực hiện Nghị quyết số 45/NQ-CP ngày 11 tháng 9 năm 2009 của Chính phủ ban hành Chương trình hành động thực hiện Nghị quyết số 25-NQ/TW ngày 25 tháng 7 năm 2008 của Ban chấp hành Trung ương Đảng (khóa X) về tăng cường sự lãnh đạo của Đảng đối với công tác thanh niên thời kỳ đẩy mạnh công nghiệp hóa, hiện đại hóa đất nước, kế hoạch số 4087/KH-UBND của Ủy ban nhân dân tỉnh, kế hoạch của huyện về phát triển thanh niên đã tạo được sự chuyển biến mạnh mẽ về nhận thức của cán bộ, công chức, đoàn viên, hội viên và nhân dân về tầm quan trọng và ý nghĩa của Chiến lược phát triển thanh niên; vị trí, vai trò của thanh niên trong xây dựng và bảo vệ tổ quốc.</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Các chương trình, kế hoạch phát triển kinh tế xã hội ở địa phương đều lòng ghép mục tiêu, chỉ tiêu về phát triển thanh niên đã tạo điều kiện cho thanh niên tham gia đóng góp công sức để hoàn thành các chi tiêu phát triển kinh tế xã hội, giữ vững và ổn định quốc phòng an ninh.</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 Chủ động phối hợp với Đoàn thanh niên trong công tác quản lý thanh niên, tổ chức phổ biến các chủ trương chính sách về thanh niên và công tác thanh niên nhằm nâng cao vai trò, trách nhiệm của thanh niên đối với Nhà nước và xã hội, cụ thể phối hợp Đoàn thanh niên triển khai Luật thanh niên được 04 cuộc có 347 lượt thanh niên tham dự.</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
          <w:bCs/>
          <w:color w:val="000000"/>
          <w:szCs w:val="28"/>
          <w:lang w:val="en-GB"/>
        </w:rPr>
        <w:lastRenderedPageBreak/>
        <w:t>5.</w:t>
      </w:r>
      <w:r>
        <w:rPr>
          <w:rFonts w:ascii="Times New Roman" w:hAnsi="Times New Roman"/>
          <w:bCs/>
          <w:color w:val="000000"/>
          <w:szCs w:val="28"/>
          <w:lang w:val="en-GB"/>
        </w:rPr>
        <w:t xml:space="preserve"> Triển khai thực hiện Quyết định 57/2015/QĐ-TTg ngày 16 tháng 11 năm 2015 về chính sách đối với hoạt động tình nguyện của thanh niên và triển khai thực hiện chế độ, chính sách đối với thanh niên xung phong đã hoàn thành nhiệm vụ trong kháng chiến, tuy nhiên qua công tác điều tra trên địa bàn xã không có đối tượng được hưởng các chính sách trên.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
          <w:bCs/>
          <w:color w:val="000000"/>
          <w:szCs w:val="28"/>
          <w:lang w:val="en-GB"/>
        </w:rPr>
        <w:t>6.</w:t>
      </w:r>
      <w:r>
        <w:rPr>
          <w:rFonts w:ascii="Times New Roman" w:hAnsi="Times New Roman"/>
          <w:bCs/>
          <w:color w:val="000000"/>
          <w:szCs w:val="28"/>
          <w:lang w:val="en-GB"/>
        </w:rPr>
        <w:t xml:space="preserve"> Triển khai và thực hiện có hiệu quả Quy chế phối hợp với Ban chấp hành Đoàn thanh niên xã trong hoạt động tham gia xây dựng các cơ chế chính sách liên quan đến cán bộ, công chức, Đoàn viên và thanh thiếu niên; chăm lo và bảo vệ quyền, lợi ích hợp pháp, chính đáng của cán bộ, công chức, đoàn viên, thanh niên; Phối hợp thực hiện tốt nội dung phối hợp trong Phụ lục Quy chế phối hợp giữa Ủy ban nhân dân và Ban chấp Xã Đoàn.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
          <w:bCs/>
          <w:color w:val="000000"/>
          <w:szCs w:val="28"/>
          <w:lang w:val="en-GB"/>
        </w:rPr>
        <w:t>7.</w:t>
      </w:r>
      <w:r>
        <w:rPr>
          <w:rFonts w:ascii="Times New Roman" w:hAnsi="Times New Roman"/>
          <w:bCs/>
          <w:color w:val="000000"/>
          <w:szCs w:val="28"/>
          <w:lang w:val="en-GB"/>
        </w:rPr>
        <w:t xml:space="preserve"> Bố trí nhân sự làm công tác thanh niên</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bCs/>
          <w:color w:val="000000"/>
          <w:szCs w:val="28"/>
          <w:lang w:val="en-GB"/>
        </w:rPr>
        <w:t>Ủy ban nhân dân xã bố trí công chức Văn phòng - thống kê phụ trách nội vụ làm công tác thanh niên tuy nhiên do kiêm nhiệm nhiều công việc, chưa qua đào tạo nghiệp vụ về công tác thanh niên nên công việc còn hạn chế, chưa phát huy hết vai trò trách nhiệm với nhiệm vụ được giao về công tác thanh niên.</w:t>
      </w:r>
    </w:p>
    <w:p w:rsidR="00412BC1" w:rsidRDefault="00412BC1" w:rsidP="00412BC1">
      <w:pPr>
        <w:spacing w:before="120" w:after="120" w:line="300" w:lineRule="exact"/>
        <w:ind w:firstLine="720"/>
        <w:jc w:val="both"/>
        <w:rPr>
          <w:rFonts w:ascii="Times New Roman" w:hAnsi="Times New Roman"/>
          <w:b/>
          <w:color w:val="000000"/>
          <w:szCs w:val="28"/>
          <w:lang w:val="en-GB"/>
        </w:rPr>
      </w:pPr>
      <w:r>
        <w:rPr>
          <w:rFonts w:ascii="Times New Roman" w:hAnsi="Times New Roman"/>
          <w:b/>
          <w:color w:val="000000"/>
          <w:szCs w:val="28"/>
          <w:lang w:val="en-GB"/>
        </w:rPr>
        <w:t>II. ĐÁNH GIÁ NHẬN XÉT</w:t>
      </w:r>
    </w:p>
    <w:p w:rsidR="00412BC1" w:rsidRDefault="00412BC1" w:rsidP="00412BC1">
      <w:pPr>
        <w:spacing w:before="120"/>
        <w:jc w:val="both"/>
        <w:rPr>
          <w:rFonts w:ascii="Times New Roman" w:hAnsi="Times New Roman"/>
          <w:b/>
          <w:color w:val="000000"/>
        </w:rPr>
      </w:pPr>
      <w:r>
        <w:rPr>
          <w:rFonts w:ascii="Times New Roman" w:hAnsi="Times New Roman"/>
          <w:b/>
          <w:color w:val="000000"/>
        </w:rPr>
        <w:tab/>
        <w:t>1. Ưu điểm</w:t>
      </w:r>
    </w:p>
    <w:p w:rsidR="00412BC1" w:rsidRDefault="00412BC1" w:rsidP="00412BC1">
      <w:pPr>
        <w:spacing w:before="120"/>
        <w:ind w:firstLine="720"/>
        <w:jc w:val="both"/>
        <w:rPr>
          <w:rFonts w:ascii="Times New Roman" w:hAnsi="Times New Roman"/>
          <w:color w:val="000000"/>
        </w:rPr>
      </w:pPr>
      <w:r>
        <w:rPr>
          <w:rFonts w:ascii="Times New Roman" w:hAnsi="Times New Roman"/>
          <w:color w:val="000000"/>
        </w:rPr>
        <w:t>Đảng ủy, Ủy ban nhân dân có sự quan tâm cao về công tác thanh niên đã chỉ đạo các ngành Đoàn thể nhất là vai trò tham mưu của Đoàn thanh niên  phối hợp tuyên truyền, giáo dục tạo sự nhận thực sâu sắc về công tác thanh niên để từ đó góp phần thực hiện đạt hiệu quả công tác quản lý nhà nước về thanh niên tại địa phương. Đặc biệt là sau triển khai Nghị quyết số 45/NQ-CP ngày 11 tháng 9 năm 2009 của Chính phủ về ban hành Chương trình hành động thực hiện Nghị quyết số 25-NQ/TW của Ban chấp hành Trung Ương Đảng (khóa X) về công tác thanh niên có nhiều tiến bộ rõ rệt.</w:t>
      </w:r>
      <w:r>
        <w:rPr>
          <w:rFonts w:ascii="Times New Roman" w:hAnsi="Times New Roman"/>
          <w:bCs/>
          <w:color w:val="000000"/>
          <w:szCs w:val="28"/>
          <w:lang w:val="en-GB"/>
        </w:rPr>
        <w:t xml:space="preserve"> Nhận thức của thanh niên về vai trò, vị trí, quyền và nghĩa vụ của mình được nâng lên góp phần cho việc hoàn thành các mục tiêu, chỉ tiêu trên các lĩnh vực phát triển ở địa phương.</w:t>
      </w:r>
    </w:p>
    <w:p w:rsidR="00412BC1" w:rsidRDefault="00412BC1" w:rsidP="00412BC1">
      <w:pPr>
        <w:spacing w:before="120"/>
        <w:jc w:val="both"/>
        <w:rPr>
          <w:rFonts w:ascii="Times New Roman" w:hAnsi="Times New Roman"/>
          <w:b/>
          <w:color w:val="000000"/>
          <w:lang w:val="nl-NL"/>
        </w:rPr>
      </w:pPr>
      <w:r>
        <w:rPr>
          <w:rFonts w:ascii="Times New Roman" w:hAnsi="Times New Roman"/>
          <w:b/>
          <w:color w:val="000000"/>
          <w:lang w:val="nl-NL"/>
        </w:rPr>
        <w:tab/>
        <w:t>2. Hạn chế</w:t>
      </w:r>
    </w:p>
    <w:p w:rsidR="00412BC1" w:rsidRDefault="00412BC1" w:rsidP="00412BC1">
      <w:pPr>
        <w:spacing w:before="120" w:after="120" w:line="300" w:lineRule="exact"/>
        <w:ind w:firstLine="720"/>
        <w:jc w:val="both"/>
        <w:rPr>
          <w:rFonts w:ascii="Times New Roman" w:hAnsi="Times New Roman"/>
          <w:bCs/>
          <w:color w:val="000000"/>
          <w:szCs w:val="28"/>
          <w:lang w:val="en-GB"/>
        </w:rPr>
      </w:pPr>
      <w:r>
        <w:rPr>
          <w:rFonts w:ascii="Times New Roman" w:hAnsi="Times New Roman"/>
          <w:color w:val="000000"/>
        </w:rPr>
        <w:t>Công tác chỉ đạo, theo dõi, kiểm tra, đôn đốc về công tác thanh niên và c</w:t>
      </w:r>
      <w:r>
        <w:rPr>
          <w:rFonts w:ascii="Times New Roman" w:hAnsi="Times New Roman"/>
          <w:bCs/>
          <w:color w:val="000000"/>
          <w:szCs w:val="28"/>
          <w:lang w:val="en-GB"/>
        </w:rPr>
        <w:t>ông tác tuyên truyền, phổ biến các chương trình, kế hoạch phát triển thanh niên chưa được thường xuyên, nội dung tuyên truyền không sâu từ đó chưa phát huy hết sức mạnh của thanh niên trong tham gia các phong trào hành động cách mạng ở địa phương và vẫn còn một bộ phận thanh niên chậm tiến, thiếu ý thức và trách nhiệm với xã hội.</w:t>
      </w:r>
    </w:p>
    <w:p w:rsidR="00412BC1" w:rsidRDefault="00412BC1" w:rsidP="00412BC1">
      <w:pPr>
        <w:spacing w:before="120"/>
        <w:ind w:firstLine="560"/>
        <w:jc w:val="both"/>
        <w:rPr>
          <w:rFonts w:ascii="Times New Roman" w:hAnsi="Times New Roman"/>
          <w:b/>
          <w:color w:val="000000"/>
        </w:rPr>
      </w:pPr>
      <w:r>
        <w:rPr>
          <w:rFonts w:ascii="Times New Roman" w:hAnsi="Times New Roman"/>
          <w:b/>
          <w:color w:val="000000"/>
        </w:rPr>
        <w:t>3. Nguyên nhân</w:t>
      </w:r>
    </w:p>
    <w:p w:rsidR="00412BC1" w:rsidRDefault="00412BC1" w:rsidP="00412BC1">
      <w:pPr>
        <w:spacing w:before="120" w:line="252" w:lineRule="auto"/>
        <w:ind w:firstLine="560"/>
        <w:jc w:val="both"/>
        <w:rPr>
          <w:rFonts w:ascii="Times New Roman" w:hAnsi="Times New Roman"/>
          <w:color w:val="000000"/>
          <w:lang w:val="nl-NL"/>
        </w:rPr>
      </w:pPr>
      <w:r>
        <w:rPr>
          <w:rFonts w:ascii="Times New Roman" w:hAnsi="Times New Roman"/>
          <w:color w:val="000000"/>
          <w:lang w:val="nl-NL"/>
        </w:rPr>
        <w:t>Một số phong trào phát động về công tác thanh niên chưa linh động về nội dung, thiếu sáng tạo về hình thức và chưa phù hợp với thời gian, tâm tư, nguyện vọng của đoàn viên, thanh niên ở địa phương.</w:t>
      </w:r>
    </w:p>
    <w:p w:rsidR="00412BC1" w:rsidRDefault="00412BC1" w:rsidP="00412BC1">
      <w:pPr>
        <w:spacing w:before="120"/>
        <w:ind w:firstLine="545"/>
        <w:jc w:val="both"/>
        <w:rPr>
          <w:rFonts w:ascii="Times New Roman" w:hAnsi="Times New Roman"/>
          <w:color w:val="000000"/>
          <w:spacing w:val="-4"/>
          <w:lang w:val="nl-NL"/>
        </w:rPr>
      </w:pPr>
      <w:r>
        <w:rPr>
          <w:rFonts w:ascii="Times New Roman" w:hAnsi="Times New Roman"/>
          <w:color w:val="000000"/>
          <w:spacing w:val="-4"/>
          <w:lang w:val="nl-NL"/>
        </w:rPr>
        <w:lastRenderedPageBreak/>
        <w:t>Một số ngành Đoàn thể chưa thực sự quan tâm đến công tác thanh niên và phong trào thanh niên</w:t>
      </w:r>
      <w:r>
        <w:rPr>
          <w:rFonts w:ascii="Times New Roman" w:hAnsi="Times New Roman"/>
          <w:color w:val="000000"/>
          <w:spacing w:val="-4"/>
        </w:rPr>
        <w:t xml:space="preserve">, định hướng thiếu kịp thời, chỉ đạo thiếu tập trung, đánh giá thanh niên còn phiến diện, cảm tính. </w:t>
      </w:r>
    </w:p>
    <w:p w:rsidR="00412BC1" w:rsidRDefault="00412BC1" w:rsidP="00412BC1">
      <w:pPr>
        <w:spacing w:before="120" w:line="252" w:lineRule="auto"/>
        <w:ind w:firstLine="545"/>
        <w:jc w:val="both"/>
        <w:rPr>
          <w:rFonts w:ascii="Times New Roman" w:hAnsi="Times New Roman"/>
          <w:b/>
          <w:color w:val="000000"/>
          <w:spacing w:val="-6"/>
          <w:lang w:val="nl-NL"/>
        </w:rPr>
      </w:pPr>
      <w:r>
        <w:rPr>
          <w:rFonts w:ascii="Times New Roman" w:hAnsi="Times New Roman"/>
          <w:b/>
          <w:color w:val="000000"/>
          <w:spacing w:val="-6"/>
          <w:lang w:val="nl-NL"/>
        </w:rPr>
        <w:t>III. PHƯƠNG HƯỚNG NHIỆM VỤ QUẢN LÝ NHÀ NƯỚC VỀ THANH NIÊN NĂM 2017</w:t>
      </w:r>
    </w:p>
    <w:p w:rsidR="00412BC1" w:rsidRDefault="00412BC1" w:rsidP="00412BC1">
      <w:pPr>
        <w:spacing w:before="120"/>
        <w:ind w:firstLine="540"/>
        <w:jc w:val="both"/>
        <w:rPr>
          <w:rFonts w:ascii="Times New Roman" w:hAnsi="Times New Roman"/>
        </w:rPr>
      </w:pPr>
      <w:r>
        <w:rPr>
          <w:rFonts w:ascii="Times New Roman" w:hAnsi="Times New Roman"/>
        </w:rPr>
        <w:t>- Tiếp tục quán triệt và triển khai thực hiện có hiệu quả Nghị quyết số 45/NQ-CP ngày 11 tháng 9 năm 2009 của Chính phủ về ban hành chương trình hành động thực hiện Nghị quyết số 25-NQ/TW ngày 25/7/2008 của Ban Chấp hành Trung ương Đảng; tạo sự chuyển biến về nhận thức trong Đảng ủy, Ủy ban nhân dân đối với công tác thanh niên đồng thời đẩy mạnh công tác tuyên truyền, giáo dục để hình thành nên lớp thanh niên mới có lối sống văn hóa, đạo đức, sản sàng cống hiến hết sức mình cho Tổ quốc, cho xã hội từng bước đáp ứng cho nhu cầu công nghiệp hóa – hiện đại hóa đất nước.</w:t>
      </w:r>
    </w:p>
    <w:p w:rsidR="00412BC1" w:rsidRDefault="00412BC1" w:rsidP="00412BC1">
      <w:pPr>
        <w:tabs>
          <w:tab w:val="left" w:pos="5494"/>
        </w:tabs>
        <w:spacing w:before="120"/>
        <w:ind w:firstLine="403"/>
        <w:jc w:val="both"/>
        <w:rPr>
          <w:rFonts w:ascii="Times New Roman" w:hAnsi="Times New Roman"/>
          <w:color w:val="000000"/>
        </w:rPr>
      </w:pPr>
      <w:r>
        <w:rPr>
          <w:rFonts w:ascii="Times New Roman" w:hAnsi="Times New Roman"/>
          <w:color w:val="000000"/>
          <w:lang w:val="nl-NL"/>
        </w:rPr>
        <w:t>- Tăng cường sự lãnh chỉ đạo của Đảng ủy, Ủy ban nhân dân về công tác thanh niên gắn chương trình, kế hoạch phát triển kinh tế xã hội với mục tiêu phát triển thanh niên.</w:t>
      </w:r>
    </w:p>
    <w:p w:rsidR="00412BC1" w:rsidRDefault="00412BC1" w:rsidP="00412BC1">
      <w:pPr>
        <w:spacing w:before="120"/>
        <w:ind w:firstLine="545"/>
        <w:jc w:val="both"/>
        <w:rPr>
          <w:rFonts w:ascii="Times New Roman" w:hAnsi="Times New Roman"/>
          <w:color w:val="000000"/>
        </w:rPr>
      </w:pPr>
      <w:r>
        <w:rPr>
          <w:rFonts w:ascii="Times New Roman" w:hAnsi="Times New Roman"/>
          <w:color w:val="000000"/>
        </w:rPr>
        <w:t>- Nâng cao vai trò, vị trí của tổ chức Đoàn,  xác định thanh niên là chủ nhân tương lai của đất nước, lực lượng chủ yếu, nòng cốt đảm nhiệm những công việc khó khăn, gian khổ, đòi hỏi sức khỏe và sự sáng tạo,</w:t>
      </w:r>
      <w:r>
        <w:rPr>
          <w:rFonts w:ascii="Times New Roman" w:hAnsi="Times New Roman"/>
          <w:color w:val="000000"/>
          <w:sz w:val="20"/>
          <w:szCs w:val="20"/>
        </w:rPr>
        <w:t xml:space="preserve"> </w:t>
      </w:r>
      <w:r>
        <w:rPr>
          <w:rFonts w:ascii="Times New Roman" w:hAnsi="Times New Roman"/>
          <w:color w:val="000000"/>
        </w:rPr>
        <w:t xml:space="preserve">đây là một trong những nhân tố quyết định sự thành bại của sự nghiệp công nghiệp hoá, hiện đại hoá đất nước, hội nhập quốc tế. </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Phối hợp Mặt trận tổ quốc, các ngành Đoàn thể đẩy mạnh công tác tuyên truyền giáo dục pháp luật về thanh niên nhằm nâng cao nhận thức, ý thức trách nhiệm của thanh niên để thực hiện tốt quyền, nghĩa vụ một công dân; giáo dục Chủ nghĩa Mác – Lê Nin, tư tưởng Hồ Chí Minh cho thanh niên nhằm xây dựng lối sống tốt đẹp, có văn hóa, khơi dậy truyền thống dân tộc, ý thức trách nhiệm của thanh niên đối với bản thân, gia đình và xã hội; phát huy vai trò xung kích của thanh niên để tham gia xây dựng và bảo vệ Tổ quốc Việt Nam Xã hội Chủ nghĩa.</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Đưa đào tạo, bồi dưỡng đội ngũ cán bộ, công chức nhất là các cán bộ trẻ, có năng lực phục vụ lâu dài.</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Phát huy chất lượng hoạt động của Trung tâm học tập cộng đồng tạo điều kiện dạy nghề và định hướng việc làm cho thanh niên theo nhu cầu thị trường lao động.</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Nâng cao chất lượng hoạt động của các Câu lạc bộ bóng đá, bóng chuyền hơi (nam, nữ), văn nghệ nhằm nâng cao thể chất và tinh thần cho thanh niên.</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xml:space="preserve">- Phối hợp Đoàn thanh niên, hội Nông dân, Phụ nữ, các tổ chức kinh tế xã hội tạo điều kiện cho thanh niên tham gia các hoạt động cộng đồng, nâng cao kỹ </w:t>
      </w:r>
      <w:r>
        <w:rPr>
          <w:rFonts w:ascii="Times New Roman" w:hAnsi="Times New Roman"/>
          <w:color w:val="000000"/>
          <w:spacing w:val="-4"/>
        </w:rPr>
        <w:lastRenderedPageBreak/>
        <w:t>năng sống và làm việc, tham gia phòng chống các tệ nạn xã hội nhằm phát huy vai trò của thanh niên và đẩy mạnh xã hội hóa trong công tác thanh niên.</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Tăng cường công tác kiểm tra, giải quyết khiếu nại và xử lý vi phạm trong thực hiện chính sách đối với thanh niên.</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Thông qua các cuộc vận động, các phong trào thi đua, phong trào hành động cách mạng ở địa phương nhằm xây dựng gương tập thể, cá nhân điển hình, tiên tiến để giáo dục, rèn luyện thanh niên.</w:t>
      </w:r>
    </w:p>
    <w:p w:rsidR="00412BC1" w:rsidRDefault="00412BC1" w:rsidP="00412BC1">
      <w:pPr>
        <w:spacing w:before="120"/>
        <w:ind w:firstLine="545"/>
        <w:jc w:val="both"/>
        <w:rPr>
          <w:rFonts w:ascii="Times New Roman" w:hAnsi="Times New Roman"/>
          <w:color w:val="000000"/>
          <w:spacing w:val="-4"/>
        </w:rPr>
      </w:pPr>
      <w:r>
        <w:rPr>
          <w:rFonts w:ascii="Times New Roman" w:hAnsi="Times New Roman"/>
          <w:color w:val="000000"/>
          <w:spacing w:val="-4"/>
        </w:rPr>
        <w:t>- Thực hiện tốt Quy chế phối hợp giữa Ủy ban nhân dân và Đoàn Thanh niên về công tác thanh niên và công tác quản lý nhà nước về thanh niên.</w:t>
      </w:r>
    </w:p>
    <w:p w:rsidR="00412BC1" w:rsidRDefault="00412BC1" w:rsidP="00412BC1">
      <w:pPr>
        <w:tabs>
          <w:tab w:val="center" w:pos="0"/>
        </w:tabs>
        <w:spacing w:before="120" w:after="120" w:line="300" w:lineRule="exact"/>
        <w:ind w:firstLine="720"/>
        <w:jc w:val="both"/>
        <w:rPr>
          <w:rFonts w:ascii="Times New Roman" w:hAnsi="Times New Roman"/>
          <w:color w:val="000000"/>
          <w:szCs w:val="28"/>
        </w:rPr>
      </w:pPr>
      <w:r>
        <w:rPr>
          <w:rFonts w:ascii="Times New Roman" w:hAnsi="Times New Roman"/>
          <w:color w:val="000000"/>
          <w:szCs w:val="28"/>
        </w:rPr>
        <w:t>Trên đây là báo cáo kết quả việc thực hiện công tác quản lý nhà nước về thanh niên năm 2016 và phương hướng nhiệm vụ năm 2017 của Ủy ban nhân dân xã Mỹ Thạnh./.</w:t>
      </w:r>
    </w:p>
    <w:p w:rsidR="00412BC1" w:rsidRDefault="00412BC1" w:rsidP="00412BC1">
      <w:pPr>
        <w:tabs>
          <w:tab w:val="center" w:pos="0"/>
        </w:tabs>
        <w:spacing w:before="120" w:after="120" w:line="300" w:lineRule="exact"/>
        <w:jc w:val="both"/>
        <w:rPr>
          <w:rFonts w:ascii="Times New Roman" w:hAnsi="Times New Roman"/>
          <w:color w:val="000000"/>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28"/>
        <w:gridCol w:w="1440"/>
        <w:gridCol w:w="3960"/>
      </w:tblGrid>
      <w:tr w:rsidR="00412BC1" w:rsidTr="00412BC1">
        <w:trPr>
          <w:trHeight w:val="80"/>
        </w:trPr>
        <w:tc>
          <w:tcPr>
            <w:tcW w:w="3528" w:type="dxa"/>
            <w:hideMark/>
          </w:tcPr>
          <w:p w:rsidR="00412BC1" w:rsidRDefault="00412BC1">
            <w:pPr>
              <w:tabs>
                <w:tab w:val="center" w:pos="7020"/>
              </w:tabs>
              <w:jc w:val="both"/>
              <w:rPr>
                <w:rFonts w:ascii="Times New Roman" w:hAnsi="Times New Roman"/>
                <w:color w:val="000000"/>
                <w:szCs w:val="28"/>
              </w:rPr>
            </w:pPr>
            <w:r>
              <w:rPr>
                <w:rFonts w:ascii="Times New Roman" w:hAnsi="Times New Roman"/>
                <w:b/>
                <w:bCs/>
                <w:i/>
                <w:iCs/>
                <w:color w:val="000000"/>
                <w:sz w:val="24"/>
              </w:rPr>
              <w:t>Nơi nhận:</w:t>
            </w:r>
            <w:r>
              <w:rPr>
                <w:rFonts w:ascii="Times New Roman" w:hAnsi="Times New Roman"/>
                <w:color w:val="000000"/>
                <w:sz w:val="24"/>
              </w:rPr>
              <w:t xml:space="preserve">  </w:t>
            </w:r>
            <w:r>
              <w:rPr>
                <w:rFonts w:ascii="Times New Roman" w:hAnsi="Times New Roman"/>
                <w:color w:val="000000"/>
                <w:szCs w:val="28"/>
              </w:rPr>
              <w:t xml:space="preserve">                     </w:t>
            </w:r>
          </w:p>
          <w:p w:rsidR="00412BC1" w:rsidRDefault="00412BC1">
            <w:pPr>
              <w:tabs>
                <w:tab w:val="left" w:pos="6090"/>
                <w:tab w:val="center" w:pos="7020"/>
              </w:tabs>
              <w:jc w:val="both"/>
              <w:rPr>
                <w:rFonts w:ascii="Times New Roman" w:hAnsi="Times New Roman"/>
                <w:color w:val="000000"/>
                <w:sz w:val="22"/>
                <w:szCs w:val="22"/>
                <w:lang w:val="en-GB"/>
              </w:rPr>
            </w:pPr>
            <w:r>
              <w:rPr>
                <w:rFonts w:ascii="Times New Roman" w:hAnsi="Times New Roman"/>
                <w:color w:val="000000"/>
                <w:sz w:val="22"/>
                <w:szCs w:val="22"/>
                <w:lang w:val="en-GB"/>
              </w:rPr>
              <w:t>- Phòng Nội vụ huyện;</w:t>
            </w:r>
          </w:p>
          <w:p w:rsidR="00412BC1" w:rsidRDefault="00412BC1">
            <w:pPr>
              <w:tabs>
                <w:tab w:val="left" w:pos="6090"/>
                <w:tab w:val="center" w:pos="7020"/>
              </w:tabs>
              <w:jc w:val="both"/>
              <w:rPr>
                <w:rFonts w:ascii="Times New Roman" w:hAnsi="Times New Roman"/>
                <w:color w:val="000000"/>
                <w:sz w:val="22"/>
                <w:szCs w:val="22"/>
                <w:lang w:val="en-GB"/>
              </w:rPr>
            </w:pPr>
            <w:r>
              <w:rPr>
                <w:rFonts w:ascii="Times New Roman" w:hAnsi="Times New Roman"/>
                <w:color w:val="000000"/>
                <w:sz w:val="22"/>
                <w:szCs w:val="22"/>
                <w:lang w:val="en-GB"/>
              </w:rPr>
              <w:t>- TT. Đảng ủy, HĐND xã;</w:t>
            </w:r>
          </w:p>
          <w:p w:rsidR="00412BC1" w:rsidRDefault="00412BC1">
            <w:pPr>
              <w:tabs>
                <w:tab w:val="left" w:pos="6090"/>
                <w:tab w:val="center" w:pos="7020"/>
              </w:tabs>
              <w:jc w:val="both"/>
              <w:rPr>
                <w:rFonts w:ascii="Times New Roman" w:hAnsi="Times New Roman"/>
                <w:color w:val="000000"/>
                <w:sz w:val="22"/>
                <w:szCs w:val="22"/>
                <w:lang w:val="en-GB"/>
              </w:rPr>
            </w:pPr>
            <w:r>
              <w:rPr>
                <w:rFonts w:ascii="Times New Roman" w:hAnsi="Times New Roman"/>
                <w:color w:val="000000"/>
                <w:sz w:val="22"/>
                <w:szCs w:val="22"/>
                <w:lang w:val="en-GB"/>
              </w:rPr>
              <w:t>- Các ngành Đoàn thể;</w:t>
            </w:r>
          </w:p>
          <w:p w:rsidR="00412BC1" w:rsidRDefault="00412BC1">
            <w:pPr>
              <w:tabs>
                <w:tab w:val="left" w:pos="6090"/>
                <w:tab w:val="center" w:pos="7020"/>
              </w:tabs>
              <w:jc w:val="both"/>
              <w:rPr>
                <w:rFonts w:ascii="Times New Roman" w:hAnsi="Times New Roman"/>
                <w:color w:val="000000"/>
                <w:sz w:val="22"/>
                <w:szCs w:val="22"/>
              </w:rPr>
            </w:pPr>
            <w:r>
              <w:rPr>
                <w:rFonts w:ascii="Times New Roman" w:hAnsi="Times New Roman"/>
                <w:color w:val="000000"/>
                <w:sz w:val="22"/>
                <w:szCs w:val="22"/>
                <w:lang w:val="en-GB"/>
              </w:rPr>
              <w:t>- Trưởng ấp 6 ấp;</w:t>
            </w:r>
          </w:p>
          <w:p w:rsidR="00412BC1" w:rsidRDefault="00412BC1">
            <w:pPr>
              <w:tabs>
                <w:tab w:val="center" w:pos="0"/>
                <w:tab w:val="center" w:pos="7020"/>
              </w:tabs>
              <w:jc w:val="both"/>
              <w:rPr>
                <w:rFonts w:ascii="Times New Roman" w:hAnsi="Times New Roman"/>
                <w:color w:val="FF0000"/>
                <w:szCs w:val="28"/>
              </w:rPr>
            </w:pPr>
            <w:r>
              <w:rPr>
                <w:rFonts w:ascii="Times New Roman" w:hAnsi="Times New Roman"/>
                <w:color w:val="000000"/>
                <w:sz w:val="22"/>
                <w:szCs w:val="22"/>
              </w:rPr>
              <w:t>- Lưu: VT, Viêt. 20b.</w:t>
            </w:r>
          </w:p>
        </w:tc>
        <w:tc>
          <w:tcPr>
            <w:tcW w:w="1440" w:type="dxa"/>
          </w:tcPr>
          <w:p w:rsidR="00412BC1" w:rsidRDefault="00412BC1">
            <w:pPr>
              <w:jc w:val="both"/>
              <w:rPr>
                <w:rFonts w:ascii="Times New Roman" w:hAnsi="Times New Roman"/>
                <w:color w:val="FF0000"/>
                <w:szCs w:val="28"/>
              </w:rPr>
            </w:pPr>
          </w:p>
        </w:tc>
        <w:tc>
          <w:tcPr>
            <w:tcW w:w="3960" w:type="dxa"/>
          </w:tcPr>
          <w:p w:rsidR="00412BC1" w:rsidRDefault="00412BC1">
            <w:pPr>
              <w:tabs>
                <w:tab w:val="center" w:pos="0"/>
                <w:tab w:val="center" w:pos="7020"/>
              </w:tabs>
              <w:jc w:val="center"/>
              <w:rPr>
                <w:rFonts w:ascii="Times New Roman" w:hAnsi="Times New Roman"/>
                <w:b/>
                <w:bCs/>
                <w:color w:val="000000"/>
                <w:szCs w:val="28"/>
                <w:lang w:val="en-GB"/>
              </w:rPr>
            </w:pPr>
            <w:r>
              <w:rPr>
                <w:rFonts w:ascii="Times New Roman" w:hAnsi="Times New Roman"/>
                <w:b/>
                <w:bCs/>
                <w:color w:val="000000"/>
                <w:szCs w:val="28"/>
                <w:lang w:val="en-GB"/>
              </w:rPr>
              <w:t>CHỦ TỊCH</w:t>
            </w:r>
          </w:p>
          <w:p w:rsidR="00412BC1" w:rsidRDefault="00412BC1" w:rsidP="00412BC1">
            <w:pPr>
              <w:tabs>
                <w:tab w:val="center" w:pos="0"/>
                <w:tab w:val="center" w:pos="7020"/>
              </w:tabs>
              <w:jc w:val="center"/>
              <w:rPr>
                <w:rFonts w:ascii="Times New Roman" w:hAnsi="Times New Roman"/>
                <w:b/>
                <w:color w:val="000000"/>
                <w:szCs w:val="28"/>
              </w:rPr>
            </w:pPr>
            <w:r>
              <w:rPr>
                <w:rFonts w:ascii="Times New Roman" w:hAnsi="Times New Roman"/>
                <w:b/>
                <w:bCs/>
                <w:color w:val="000000"/>
                <w:szCs w:val="28"/>
                <w:lang w:val="en-GB"/>
              </w:rPr>
              <w:t>Đã ký</w:t>
            </w:r>
            <w:bookmarkStart w:id="0" w:name="_GoBack"/>
            <w:bookmarkEnd w:id="0"/>
          </w:p>
          <w:p w:rsidR="00412BC1" w:rsidRDefault="00412BC1">
            <w:pPr>
              <w:tabs>
                <w:tab w:val="center" w:pos="0"/>
                <w:tab w:val="center" w:pos="7020"/>
              </w:tabs>
              <w:jc w:val="center"/>
              <w:rPr>
                <w:rFonts w:ascii="Times New Roman" w:hAnsi="Times New Roman"/>
                <w:b/>
                <w:color w:val="FF0000"/>
                <w:szCs w:val="28"/>
              </w:rPr>
            </w:pPr>
            <w:r>
              <w:rPr>
                <w:rFonts w:ascii="Times New Roman" w:hAnsi="Times New Roman"/>
                <w:b/>
                <w:color w:val="000000"/>
                <w:szCs w:val="28"/>
              </w:rPr>
              <w:t>Ngô Tấn Quyền</w:t>
            </w:r>
          </w:p>
        </w:tc>
      </w:tr>
    </w:tbl>
    <w:p w:rsidR="00412BC1" w:rsidRDefault="00412BC1" w:rsidP="00412BC1">
      <w:pPr>
        <w:tabs>
          <w:tab w:val="left" w:pos="2460"/>
        </w:tabs>
      </w:pPr>
    </w:p>
    <w:p w:rsidR="007721C8" w:rsidRDefault="007721C8"/>
    <w:sectPr w:rsidR="007721C8" w:rsidSect="0056756F">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1A" w:rsidRDefault="00E43F1A" w:rsidP="0056756F">
      <w:r>
        <w:separator/>
      </w:r>
    </w:p>
  </w:endnote>
  <w:endnote w:type="continuationSeparator" w:id="0">
    <w:p w:rsidR="00E43F1A" w:rsidRDefault="00E43F1A" w:rsidP="005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08697"/>
      <w:docPartObj>
        <w:docPartGallery w:val="Page Numbers (Bottom of Page)"/>
        <w:docPartUnique/>
      </w:docPartObj>
    </w:sdtPr>
    <w:sdtEndPr>
      <w:rPr>
        <w:noProof/>
      </w:rPr>
    </w:sdtEndPr>
    <w:sdtContent>
      <w:p w:rsidR="0056756F" w:rsidRDefault="0056756F" w:rsidP="0056756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6756F" w:rsidRDefault="0056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1A" w:rsidRDefault="00E43F1A" w:rsidP="0056756F">
      <w:r>
        <w:separator/>
      </w:r>
    </w:p>
  </w:footnote>
  <w:footnote w:type="continuationSeparator" w:id="0">
    <w:p w:rsidR="00E43F1A" w:rsidRDefault="00E43F1A" w:rsidP="0056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C1"/>
    <w:rsid w:val="00412BC1"/>
    <w:rsid w:val="0056756F"/>
    <w:rsid w:val="007721C8"/>
    <w:rsid w:val="00E4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C1"/>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56F"/>
    <w:pPr>
      <w:tabs>
        <w:tab w:val="center" w:pos="4680"/>
        <w:tab w:val="right" w:pos="9360"/>
      </w:tabs>
    </w:pPr>
  </w:style>
  <w:style w:type="character" w:customStyle="1" w:styleId="HeaderChar">
    <w:name w:val="Header Char"/>
    <w:basedOn w:val="DefaultParagraphFont"/>
    <w:link w:val="Header"/>
    <w:uiPriority w:val="99"/>
    <w:rsid w:val="0056756F"/>
    <w:rPr>
      <w:rFonts w:ascii="VNI-Times" w:eastAsia="Times New Roman" w:hAnsi="VNI-Times" w:cs="Times New Roman"/>
      <w:sz w:val="28"/>
      <w:szCs w:val="24"/>
    </w:rPr>
  </w:style>
  <w:style w:type="paragraph" w:styleId="Footer">
    <w:name w:val="footer"/>
    <w:basedOn w:val="Normal"/>
    <w:link w:val="FooterChar"/>
    <w:uiPriority w:val="99"/>
    <w:unhideWhenUsed/>
    <w:rsid w:val="0056756F"/>
    <w:pPr>
      <w:tabs>
        <w:tab w:val="center" w:pos="4680"/>
        <w:tab w:val="right" w:pos="9360"/>
      </w:tabs>
    </w:pPr>
  </w:style>
  <w:style w:type="character" w:customStyle="1" w:styleId="FooterChar">
    <w:name w:val="Footer Char"/>
    <w:basedOn w:val="DefaultParagraphFont"/>
    <w:link w:val="Footer"/>
    <w:uiPriority w:val="99"/>
    <w:rsid w:val="0056756F"/>
    <w:rPr>
      <w:rFonts w:ascii="VNI-Times" w:eastAsia="Times New Roman" w:hAnsi="VNI-Times"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C1"/>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56F"/>
    <w:pPr>
      <w:tabs>
        <w:tab w:val="center" w:pos="4680"/>
        <w:tab w:val="right" w:pos="9360"/>
      </w:tabs>
    </w:pPr>
  </w:style>
  <w:style w:type="character" w:customStyle="1" w:styleId="HeaderChar">
    <w:name w:val="Header Char"/>
    <w:basedOn w:val="DefaultParagraphFont"/>
    <w:link w:val="Header"/>
    <w:uiPriority w:val="99"/>
    <w:rsid w:val="0056756F"/>
    <w:rPr>
      <w:rFonts w:ascii="VNI-Times" w:eastAsia="Times New Roman" w:hAnsi="VNI-Times" w:cs="Times New Roman"/>
      <w:sz w:val="28"/>
      <w:szCs w:val="24"/>
    </w:rPr>
  </w:style>
  <w:style w:type="paragraph" w:styleId="Footer">
    <w:name w:val="footer"/>
    <w:basedOn w:val="Normal"/>
    <w:link w:val="FooterChar"/>
    <w:uiPriority w:val="99"/>
    <w:unhideWhenUsed/>
    <w:rsid w:val="0056756F"/>
    <w:pPr>
      <w:tabs>
        <w:tab w:val="center" w:pos="4680"/>
        <w:tab w:val="right" w:pos="9360"/>
      </w:tabs>
    </w:pPr>
  </w:style>
  <w:style w:type="character" w:customStyle="1" w:styleId="FooterChar">
    <w:name w:val="Footer Char"/>
    <w:basedOn w:val="DefaultParagraphFont"/>
    <w:link w:val="Footer"/>
    <w:uiPriority w:val="99"/>
    <w:rsid w:val="0056756F"/>
    <w:rPr>
      <w:rFonts w:ascii="VNI-Times" w:eastAsia="Times New Roman" w:hAnsi="VNI-Time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11705</Characters>
  <Application>Microsoft Office Word</Application>
  <DocSecurity>0</DocSecurity>
  <Lines>97</Lines>
  <Paragraphs>27</Paragraphs>
  <ScaleCrop>false</ScaleCrop>
  <Company>Microsoft</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2016-10-13T01:00:00Z</dcterms:created>
  <dcterms:modified xsi:type="dcterms:W3CDTF">2016-10-13T01:02:00Z</dcterms:modified>
</cp:coreProperties>
</file>