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27"/>
        <w:gridCol w:w="621"/>
        <w:gridCol w:w="67"/>
        <w:gridCol w:w="5589"/>
      </w:tblGrid>
      <w:tr w:rsidR="0042580D" w:rsidTr="0042580D">
        <w:tc>
          <w:tcPr>
            <w:tcW w:w="2727" w:type="dxa"/>
            <w:hideMark/>
          </w:tcPr>
          <w:p w:rsidR="0042580D" w:rsidRDefault="0042580D">
            <w:pPr>
              <w:jc w:val="center"/>
              <w:rPr>
                <w:b/>
                <w:sz w:val="26"/>
                <w:szCs w:val="28"/>
              </w:rPr>
            </w:pPr>
            <w:r>
              <w:rPr>
                <w:b/>
                <w:sz w:val="26"/>
                <w:szCs w:val="28"/>
              </w:rPr>
              <w:t>ỦY BAN NHÂN DÂN</w:t>
            </w:r>
          </w:p>
          <w:p w:rsidR="0042580D" w:rsidRDefault="0042580D">
            <w:pPr>
              <w:jc w:val="center"/>
              <w:rPr>
                <w:b/>
                <w:sz w:val="26"/>
                <w:szCs w:val="28"/>
              </w:rPr>
            </w:pPr>
            <w:r>
              <w:rPr>
                <w:b/>
                <w:sz w:val="26"/>
                <w:szCs w:val="28"/>
              </w:rPr>
              <w:t>XÃ MỸ THẠNH</w:t>
            </w:r>
          </w:p>
          <w:p w:rsidR="0042580D" w:rsidRDefault="0042580D">
            <w:pPr>
              <w:jc w:val="both"/>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447675</wp:posOffset>
                      </wp:positionH>
                      <wp:positionV relativeFrom="paragraph">
                        <wp:posOffset>48895</wp:posOffset>
                      </wp:positionV>
                      <wp:extent cx="685800"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3.85pt" to="89.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"/>
                  </w:pict>
                </mc:Fallback>
              </mc:AlternateContent>
            </w:r>
          </w:p>
        </w:tc>
        <w:tc>
          <w:tcPr>
            <w:tcW w:w="621" w:type="dxa"/>
          </w:tcPr>
          <w:p w:rsidR="0042580D" w:rsidRDefault="0042580D">
            <w:pPr>
              <w:jc w:val="both"/>
              <w:rPr>
                <w:sz w:val="28"/>
                <w:szCs w:val="28"/>
              </w:rPr>
            </w:pPr>
          </w:p>
        </w:tc>
        <w:tc>
          <w:tcPr>
            <w:tcW w:w="5656" w:type="dxa"/>
            <w:gridSpan w:val="2"/>
            <w:hideMark/>
          </w:tcPr>
          <w:p w:rsidR="0042580D" w:rsidRDefault="0042580D">
            <w:pPr>
              <w:jc w:val="center"/>
              <w:rPr>
                <w:b/>
                <w:sz w:val="26"/>
                <w:szCs w:val="28"/>
              </w:rPr>
            </w:pPr>
            <w:r>
              <w:rPr>
                <w:b/>
                <w:sz w:val="26"/>
                <w:szCs w:val="28"/>
              </w:rPr>
              <w:t>CỘNG HÒA XÃ HỘI CHỦ NGHĨA VIỆT NAM</w:t>
            </w:r>
          </w:p>
          <w:p w:rsidR="0042580D" w:rsidRDefault="0042580D">
            <w:pPr>
              <w:jc w:val="center"/>
              <w:rPr>
                <w:b/>
                <w:sz w:val="28"/>
                <w:szCs w:val="28"/>
              </w:rPr>
            </w:pPr>
            <w:r>
              <w:rPr>
                <w:b/>
                <w:sz w:val="28"/>
                <w:szCs w:val="28"/>
              </w:rPr>
              <w:t>Độc lập - Tự do - Hạnh phúc</w:t>
            </w:r>
          </w:p>
          <w:p w:rsidR="0042580D" w:rsidRDefault="0042580D">
            <w:pPr>
              <w:jc w:val="both"/>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607695</wp:posOffset>
                      </wp:positionH>
                      <wp:positionV relativeFrom="paragraph">
                        <wp:posOffset>15240</wp:posOffset>
                      </wp:positionV>
                      <wp:extent cx="2209800" cy="0"/>
                      <wp:effectExtent l="7620" t="5715" r="1143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1.2pt" to="221.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U3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dDFP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"/>
                  </w:pict>
                </mc:Fallback>
              </mc:AlternateContent>
            </w:r>
          </w:p>
        </w:tc>
      </w:tr>
      <w:tr w:rsidR="0042580D" w:rsidTr="0042580D">
        <w:tc>
          <w:tcPr>
            <w:tcW w:w="2727" w:type="dxa"/>
            <w:hideMark/>
          </w:tcPr>
          <w:p w:rsidR="0042580D" w:rsidRDefault="0042580D">
            <w:pPr>
              <w:jc w:val="center"/>
              <w:rPr>
                <w:sz w:val="28"/>
                <w:szCs w:val="28"/>
              </w:rPr>
            </w:pPr>
            <w:r>
              <w:rPr>
                <w:sz w:val="28"/>
                <w:szCs w:val="26"/>
              </w:rPr>
              <w:t xml:space="preserve">Số:   559 /BC-UBND </w:t>
            </w:r>
            <w:r>
              <w:rPr>
                <w:sz w:val="28"/>
                <w:szCs w:val="28"/>
              </w:rPr>
              <w:t xml:space="preserve">                       </w:t>
            </w:r>
          </w:p>
        </w:tc>
        <w:tc>
          <w:tcPr>
            <w:tcW w:w="688" w:type="dxa"/>
            <w:gridSpan w:val="2"/>
          </w:tcPr>
          <w:p w:rsidR="0042580D" w:rsidRDefault="0042580D">
            <w:pPr>
              <w:jc w:val="both"/>
              <w:rPr>
                <w:sz w:val="28"/>
                <w:szCs w:val="28"/>
              </w:rPr>
            </w:pPr>
          </w:p>
        </w:tc>
        <w:tc>
          <w:tcPr>
            <w:tcW w:w="5589" w:type="dxa"/>
            <w:hideMark/>
          </w:tcPr>
          <w:p w:rsidR="0042580D" w:rsidRDefault="0042580D">
            <w:pPr>
              <w:jc w:val="center"/>
              <w:rPr>
                <w:i/>
                <w:sz w:val="28"/>
                <w:szCs w:val="28"/>
              </w:rPr>
            </w:pPr>
            <w:r>
              <w:rPr>
                <w:i/>
                <w:sz w:val="28"/>
                <w:szCs w:val="28"/>
              </w:rPr>
              <w:t>Mỹ Thạnh, ngày  13  tháng 10   năm 2016</w:t>
            </w:r>
          </w:p>
        </w:tc>
      </w:tr>
    </w:tbl>
    <w:p w:rsidR="0042580D" w:rsidRDefault="0042580D" w:rsidP="0042580D">
      <w:pPr>
        <w:tabs>
          <w:tab w:val="center" w:pos="1400"/>
          <w:tab w:val="center" w:pos="6300"/>
        </w:tabs>
        <w:rPr>
          <w:b/>
          <w:iCs/>
          <w:sz w:val="28"/>
          <w:szCs w:val="28"/>
        </w:rPr>
      </w:pPr>
    </w:p>
    <w:p w:rsidR="0042580D" w:rsidRDefault="0042580D" w:rsidP="0042580D">
      <w:pPr>
        <w:tabs>
          <w:tab w:val="center" w:pos="1400"/>
          <w:tab w:val="center" w:pos="6300"/>
        </w:tabs>
        <w:jc w:val="center"/>
        <w:rPr>
          <w:b/>
          <w:iCs/>
          <w:sz w:val="28"/>
          <w:szCs w:val="28"/>
        </w:rPr>
      </w:pPr>
      <w:r>
        <w:rPr>
          <w:b/>
          <w:iCs/>
          <w:sz w:val="28"/>
          <w:szCs w:val="28"/>
        </w:rPr>
        <w:t>BÁO CÁO</w:t>
      </w:r>
    </w:p>
    <w:p w:rsidR="0042580D" w:rsidRDefault="0042580D" w:rsidP="0042580D">
      <w:pPr>
        <w:tabs>
          <w:tab w:val="center" w:pos="1400"/>
          <w:tab w:val="center" w:pos="6300"/>
        </w:tabs>
        <w:jc w:val="center"/>
        <w:rPr>
          <w:b/>
          <w:iCs/>
          <w:sz w:val="28"/>
          <w:szCs w:val="28"/>
        </w:rPr>
      </w:pPr>
      <w:r>
        <w:rPr>
          <w:b/>
          <w:iCs/>
          <w:sz w:val="28"/>
          <w:szCs w:val="28"/>
        </w:rPr>
        <w:t>Tổng kết công tác quản lý Nhà nước về tôn giáo năm 2016</w:t>
      </w:r>
    </w:p>
    <w:p w:rsidR="0042580D" w:rsidRDefault="0042580D" w:rsidP="0042580D">
      <w:pPr>
        <w:tabs>
          <w:tab w:val="center" w:pos="6300"/>
        </w:tabs>
        <w:rPr>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1984375</wp:posOffset>
                </wp:positionH>
                <wp:positionV relativeFrom="paragraph">
                  <wp:posOffset>88900</wp:posOffset>
                </wp:positionV>
                <wp:extent cx="1701800" cy="0"/>
                <wp:effectExtent l="12700" t="12700" r="952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7pt" to="290.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KO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0qze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"/>
            </w:pict>
          </mc:Fallback>
        </mc:AlternateContent>
      </w:r>
    </w:p>
    <w:p w:rsidR="0042580D" w:rsidRDefault="0042580D" w:rsidP="0042580D">
      <w:pPr>
        <w:spacing w:before="120" w:after="120" w:line="300" w:lineRule="exact"/>
        <w:ind w:firstLine="720"/>
        <w:jc w:val="both"/>
        <w:rPr>
          <w:sz w:val="28"/>
        </w:rPr>
      </w:pPr>
      <w:r>
        <w:rPr>
          <w:sz w:val="28"/>
        </w:rPr>
        <w:t>Căn cứ</w:t>
      </w:r>
      <w:r>
        <w:rPr>
          <w:sz w:val="28"/>
          <w:lang w:val="vi-VN"/>
        </w:rPr>
        <w:t xml:space="preserve"> </w:t>
      </w:r>
      <w:r>
        <w:rPr>
          <w:sz w:val="28"/>
        </w:rPr>
        <w:t>Kế hoạch số 365/KH-UBND ngày 16 tháng 02 năm 2016 của Ủy ban nhân dân huyện Giồng Trôm; Kế hoạch số 77/KH-UBND ngày 19 tháng 02 năm 2016 của Ủy ban nhân dân xã Mỹ Thạnh về thực hiện công tác quản lý Nhà nước về tôn giáo năm 2016.</w:t>
      </w:r>
    </w:p>
    <w:p w:rsidR="0042580D" w:rsidRDefault="0042580D" w:rsidP="0042580D">
      <w:pPr>
        <w:spacing w:before="120" w:after="120" w:line="300" w:lineRule="exact"/>
        <w:ind w:firstLine="720"/>
        <w:jc w:val="both"/>
        <w:rPr>
          <w:sz w:val="28"/>
        </w:rPr>
      </w:pPr>
      <w:r>
        <w:rPr>
          <w:sz w:val="28"/>
        </w:rPr>
        <w:t>Ủy Ban Nhân dân xã Mỹ Thạnh báo cáo kết quả thực hiện công tác quản lý Nhà nước về tôn giáo năm 2016 cụ thể như sau:</w:t>
      </w:r>
    </w:p>
    <w:p w:rsidR="0042580D" w:rsidRDefault="0042580D" w:rsidP="0042580D">
      <w:pPr>
        <w:spacing w:before="120" w:after="120" w:line="300" w:lineRule="exact"/>
        <w:ind w:firstLine="720"/>
        <w:jc w:val="both"/>
        <w:rPr>
          <w:b/>
          <w:sz w:val="28"/>
          <w:szCs w:val="26"/>
        </w:rPr>
      </w:pPr>
      <w:r>
        <w:rPr>
          <w:b/>
          <w:sz w:val="28"/>
          <w:szCs w:val="26"/>
        </w:rPr>
        <w:t>I. TÌNH HÌNH HOẠT ĐỘNG TÔN GIÁO NĂM 2016</w:t>
      </w:r>
    </w:p>
    <w:p w:rsidR="0042580D" w:rsidRDefault="0042580D" w:rsidP="0042580D">
      <w:pPr>
        <w:spacing w:before="120" w:after="120" w:line="300" w:lineRule="exact"/>
        <w:ind w:firstLine="720"/>
        <w:jc w:val="both"/>
        <w:rPr>
          <w:b/>
          <w:sz w:val="28"/>
          <w:szCs w:val="26"/>
        </w:rPr>
      </w:pPr>
      <w:r>
        <w:rPr>
          <w:b/>
          <w:sz w:val="28"/>
          <w:szCs w:val="26"/>
        </w:rPr>
        <w:t>1. Tình hình chung</w:t>
      </w:r>
    </w:p>
    <w:p w:rsidR="0042580D" w:rsidRDefault="0042580D" w:rsidP="0042580D">
      <w:pPr>
        <w:spacing w:before="120" w:after="120" w:line="300" w:lineRule="exact"/>
        <w:ind w:firstLine="720"/>
        <w:jc w:val="both"/>
        <w:rPr>
          <w:sz w:val="28"/>
          <w:szCs w:val="26"/>
        </w:rPr>
      </w:pPr>
      <w:r>
        <w:rPr>
          <w:sz w:val="28"/>
          <w:szCs w:val="26"/>
        </w:rPr>
        <w:t>Trên địa bàn xã Mỹ Thạnh hiện có 03 tổ chức tôn giáo hoạt động với 1.715 tín đồ, riêng xã Mỹ Thạnh có 926 tín đồ. Công tác tôn giáo trong năm qua được Đảng, Chính quyền, Mặt trận Đoàn thể quan tâm tuyên truyền, học tập, vận động thực hiện tốt phong trào yêu nước ở địa phương, thực hiện chủ trương chính sách của Đảng, pháp luật của nhà nước. Năm 2016 hoạt động các tổ chức tôn giáo ổn định, chức sắc, chức việc, tín đồ các tôn giáo an tâm tu hành, tích cực tham gia các hoạt động từ thiện xã hội ở địa phương.</w:t>
      </w:r>
    </w:p>
    <w:p w:rsidR="0042580D" w:rsidRDefault="0042580D" w:rsidP="0042580D">
      <w:pPr>
        <w:spacing w:before="120" w:after="120" w:line="300" w:lineRule="exact"/>
        <w:ind w:firstLine="720"/>
        <w:jc w:val="both"/>
        <w:rPr>
          <w:sz w:val="28"/>
          <w:szCs w:val="26"/>
        </w:rPr>
      </w:pPr>
      <w:r>
        <w:rPr>
          <w:sz w:val="28"/>
          <w:szCs w:val="26"/>
        </w:rPr>
        <w:t>Nhìn chung các tổ chức tôn giáo đều  thực hiện đúng theo Hiến chương, Điều lệ của Giáo hội và pháp luật Nhà nước, các chương trình hành lễ được tổ chức trang nghiêm đảm bảo tình hình an ninh trật tự, chương trình hành lễ hàng năm đều có xin phép địa phương và cơ quan chức năng có thẩm quyền.</w:t>
      </w:r>
    </w:p>
    <w:p w:rsidR="0042580D" w:rsidRDefault="0042580D" w:rsidP="0042580D">
      <w:pPr>
        <w:spacing w:before="120" w:after="120" w:line="300" w:lineRule="exact"/>
        <w:ind w:firstLine="720"/>
        <w:jc w:val="both"/>
        <w:rPr>
          <w:sz w:val="28"/>
          <w:szCs w:val="26"/>
        </w:rPr>
      </w:pPr>
      <w:r>
        <w:rPr>
          <w:sz w:val="28"/>
          <w:szCs w:val="26"/>
        </w:rPr>
        <w:t xml:space="preserve">Bên cạnh đó các Tôn giáo có khuynh hướng chung là xin trùng tu mở rộng nơi thờ tự, xây dựng vòng rào, phát triển tín đồ rộng khắp trên địa bàn. </w:t>
      </w:r>
    </w:p>
    <w:p w:rsidR="0042580D" w:rsidRDefault="0042580D" w:rsidP="0042580D">
      <w:pPr>
        <w:spacing w:before="120" w:after="120" w:line="300" w:lineRule="exact"/>
        <w:ind w:firstLine="720"/>
        <w:jc w:val="both"/>
        <w:rPr>
          <w:b/>
          <w:sz w:val="28"/>
          <w:szCs w:val="26"/>
        </w:rPr>
      </w:pPr>
      <w:r>
        <w:rPr>
          <w:b/>
          <w:sz w:val="28"/>
          <w:szCs w:val="26"/>
        </w:rPr>
        <w:t>2. Tình hình cụ thể từng tôn giáo</w:t>
      </w:r>
    </w:p>
    <w:p w:rsidR="0042580D" w:rsidRDefault="0042580D" w:rsidP="0042580D">
      <w:pPr>
        <w:spacing w:before="120" w:after="120" w:line="300" w:lineRule="exact"/>
        <w:ind w:firstLine="720"/>
        <w:jc w:val="both"/>
        <w:rPr>
          <w:b/>
          <w:sz w:val="28"/>
          <w:szCs w:val="26"/>
        </w:rPr>
      </w:pPr>
      <w:r>
        <w:rPr>
          <w:b/>
          <w:sz w:val="28"/>
          <w:szCs w:val="26"/>
        </w:rPr>
        <w:t>- Phật giáo</w:t>
      </w:r>
    </w:p>
    <w:p w:rsidR="0042580D" w:rsidRDefault="0042580D" w:rsidP="0042580D">
      <w:pPr>
        <w:spacing w:before="120" w:after="120" w:line="300" w:lineRule="exact"/>
        <w:ind w:firstLine="720"/>
        <w:jc w:val="both"/>
        <w:rPr>
          <w:sz w:val="28"/>
          <w:szCs w:val="26"/>
        </w:rPr>
      </w:pPr>
      <w:r>
        <w:rPr>
          <w:sz w:val="28"/>
          <w:szCs w:val="26"/>
        </w:rPr>
        <w:t>+ Gồm 02 Chùa: Chùa Long Nhiễu tọa lạc tại ấp Bến Đò; Chùa Thạnh Nam Phật đường, tọa lạc tại ấp Chợ, có đăng ký Chương trình sinh hoạt tôn giáo hàng năm theo quy định; Chùa tổ chức cúng rằm lệ kỳ vào rằm tháng Giêng, rằm tháng Bảy, rằm tháng Mười (âm lịch), mỗi lễ cúng có trên 200 tín đồ và nhân dân tín ngưỡng tham dự; đảm bảo tình hình an ninh trật tự, vệ sinh an toàn thực phẩm và tuân thủ các quy định nhà nước.</w:t>
      </w:r>
    </w:p>
    <w:p w:rsidR="0042580D" w:rsidRDefault="0042580D" w:rsidP="0042580D">
      <w:pPr>
        <w:spacing w:before="120" w:after="120" w:line="300" w:lineRule="exact"/>
        <w:ind w:firstLine="720"/>
        <w:jc w:val="both"/>
        <w:rPr>
          <w:b/>
          <w:sz w:val="28"/>
          <w:szCs w:val="26"/>
        </w:rPr>
      </w:pPr>
      <w:r>
        <w:rPr>
          <w:b/>
          <w:sz w:val="28"/>
          <w:szCs w:val="26"/>
        </w:rPr>
        <w:t>- Cao Đài Ban chỉnh đạo</w:t>
      </w:r>
    </w:p>
    <w:p w:rsidR="0042580D" w:rsidRDefault="0042580D" w:rsidP="0042580D">
      <w:pPr>
        <w:spacing w:before="120" w:after="120" w:line="300" w:lineRule="exact"/>
        <w:ind w:firstLine="720"/>
        <w:jc w:val="both"/>
        <w:rPr>
          <w:sz w:val="28"/>
          <w:szCs w:val="26"/>
        </w:rPr>
      </w:pPr>
      <w:r>
        <w:rPr>
          <w:sz w:val="28"/>
          <w:szCs w:val="26"/>
        </w:rPr>
        <w:t xml:space="preserve">+ Tọa lạc tại ấp Nghĩa Huấn, có đăng ký Chương trình sinh hoạt tôn giáo hàng năm; tổ chức lễ Thượng ngươn, Trung ngươn, Hạ ngươn vào các </w:t>
      </w:r>
      <w:r>
        <w:rPr>
          <w:sz w:val="28"/>
          <w:szCs w:val="26"/>
        </w:rPr>
        <w:lastRenderedPageBreak/>
        <w:t>ngày rằm lớn (tháng Giêng, tháng Bảy, tháng Mười) mỗi lễ cúng có trên 300 tín đồ và nhân dân tín ngưỡng tham dự; Tổ chức lễ kỹ niệm 28 năm anh Lớn Nho Chưởng pháp có trên 200 người tham dự, đảm bảo tình hình an ninh trật tự và vệ sinh an toàn thực phẩm, tuân thủ các quy định nhà nước.</w:t>
      </w:r>
    </w:p>
    <w:p w:rsidR="0042580D" w:rsidRDefault="0042580D" w:rsidP="0042580D">
      <w:pPr>
        <w:spacing w:before="120" w:after="120" w:line="300" w:lineRule="exact"/>
        <w:ind w:firstLine="720"/>
        <w:jc w:val="both"/>
        <w:rPr>
          <w:b/>
          <w:sz w:val="28"/>
          <w:szCs w:val="26"/>
        </w:rPr>
      </w:pPr>
      <w:r>
        <w:rPr>
          <w:b/>
          <w:sz w:val="28"/>
          <w:szCs w:val="26"/>
        </w:rPr>
        <w:t>- Cao Đài Tây Ninh</w:t>
      </w:r>
    </w:p>
    <w:p w:rsidR="0042580D" w:rsidRDefault="0042580D" w:rsidP="0042580D">
      <w:pPr>
        <w:spacing w:before="120" w:after="120" w:line="300" w:lineRule="exact"/>
        <w:ind w:firstLine="720"/>
        <w:jc w:val="both"/>
        <w:rPr>
          <w:sz w:val="28"/>
          <w:szCs w:val="26"/>
        </w:rPr>
      </w:pPr>
      <w:r>
        <w:rPr>
          <w:sz w:val="28"/>
          <w:szCs w:val="26"/>
        </w:rPr>
        <w:t>+ Tọa lac tại ấp Căn Cứ, có đăng ký Chương trình sinh hoạt tôn giáo hàng năm; tổ chức lễ Thượng ngươn, Trung ngươn, Hạ ngươn vào các ngày rằm lớn (tháng Giêng, tháng Bảy, tháng Mười) mỗi lễ cúng có trên 300 tín đồ và nhân dân tín ngưỡng tham dự, đảm bảo tình hình an ninh trật tự, vệ sinh an toàn thực phẩm, tuân thủ các quy định nhà nước.</w:t>
      </w:r>
    </w:p>
    <w:p w:rsidR="0042580D" w:rsidRDefault="0042580D" w:rsidP="0042580D">
      <w:pPr>
        <w:spacing w:before="120" w:after="120" w:line="300" w:lineRule="exact"/>
        <w:ind w:firstLine="720"/>
        <w:jc w:val="both"/>
        <w:rPr>
          <w:b/>
          <w:sz w:val="28"/>
          <w:szCs w:val="26"/>
        </w:rPr>
      </w:pPr>
      <w:r>
        <w:rPr>
          <w:b/>
          <w:sz w:val="28"/>
          <w:szCs w:val="26"/>
        </w:rPr>
        <w:t>- Thiên chúa giáo</w:t>
      </w:r>
    </w:p>
    <w:p w:rsidR="0042580D" w:rsidRDefault="0042580D" w:rsidP="0042580D">
      <w:pPr>
        <w:spacing w:before="120" w:after="120" w:line="300" w:lineRule="exact"/>
        <w:ind w:firstLine="720"/>
        <w:jc w:val="both"/>
        <w:rPr>
          <w:sz w:val="28"/>
          <w:szCs w:val="26"/>
        </w:rPr>
      </w:pPr>
      <w:r>
        <w:rPr>
          <w:sz w:val="28"/>
          <w:szCs w:val="26"/>
        </w:rPr>
        <w:t>+ Nhà thờ Thiên chúa tọa lạc tại ấp Chợ xã Mỹ Thạnh, có đăng ký Chương trình sinh hoạt tôn giáo hàng năm, hàng tuần tổ chức lễ cầu an, đọc kinh thánh trong tín đồ trong bổn đạo có trên 50 tín đồ tham dự, năm 2016 Ban quới chức Nhà thờ có xin phép xây dựng nhỏ tường rào phía phải khuôn viên Nhà thờ và thực hiện đúng theo đơn xin phép.</w:t>
      </w:r>
    </w:p>
    <w:p w:rsidR="0042580D" w:rsidRDefault="0042580D" w:rsidP="0042580D">
      <w:pPr>
        <w:spacing w:before="120" w:after="120" w:line="300" w:lineRule="exact"/>
        <w:ind w:right="3" w:firstLine="720"/>
        <w:jc w:val="both"/>
        <w:rPr>
          <w:sz w:val="28"/>
          <w:szCs w:val="28"/>
          <w:lang w:val="nl-NL"/>
        </w:rPr>
      </w:pPr>
      <w:r>
        <w:rPr>
          <w:sz w:val="28"/>
          <w:szCs w:val="26"/>
        </w:rPr>
        <w:t xml:space="preserve">- Ngoài các tổ chức tôn giáo còn có các nơi thờ tự dân gian như Đình Mỹ Thạnh ấp 5, Miếu Bà Đen ấp Nghĩa Huấn, Thất phủ Thiên hộ Miếu (Miếu Bà) ấp Chợ, Miếu Cửu vị Thánh nương (ấp Chợ), Miếu Ông Hổ ấp 6, đều có đăng ký Chương trình sinh hoạt tín ngưỡng hàng năm và tổ chức các lễ cúng đúng theo chương trình đăng ký, cụ thể </w:t>
      </w:r>
      <w:r>
        <w:rPr>
          <w:sz w:val="28"/>
          <w:szCs w:val="28"/>
          <w:lang w:val="nl-NL"/>
        </w:rPr>
        <w:t>Thất phủ Thiên hộ Miếu (Chùa Bà) ấp Chợ tổ chức Cúng vía Bà có 800 lượt người dân tín ngưỡng đến cúng; Miếu Cửu vị Thánh nương ấp Chợ tổ chức cúng Bà có 200 người đến cúng; Miếu Bà Đen ấp Nghĩa Huấn tổ chức lễ cúng Bà có khoảng 400 người đến cúng, Miếu Ông Hổ ấp 6, tổ chức cúng lệ kỳ có khoảng 70 người đến cúng, nhìn chung các nơi thờ tự dân gian tổ chức lễ cúng đều thực hiện đúng theo chương trình đăng ký và đảm bảo tình hình an ninh trật tự, vệ sinh an toàn thực phẩm.</w:t>
      </w:r>
    </w:p>
    <w:p w:rsidR="0042580D" w:rsidRDefault="0042580D" w:rsidP="0042580D">
      <w:pPr>
        <w:spacing w:before="120" w:after="120" w:line="300" w:lineRule="exact"/>
        <w:ind w:firstLine="720"/>
        <w:jc w:val="both"/>
        <w:rPr>
          <w:b/>
          <w:sz w:val="28"/>
          <w:szCs w:val="26"/>
        </w:rPr>
      </w:pPr>
      <w:r>
        <w:rPr>
          <w:b/>
          <w:sz w:val="28"/>
          <w:szCs w:val="26"/>
        </w:rPr>
        <w:t xml:space="preserve">II. KẾT QUẢ THỰC HIỆN CÔNG TÁC QUẢN LÝ NHÀ NƯỚC VỀ TÔN GIÁO </w:t>
      </w:r>
    </w:p>
    <w:p w:rsidR="0042580D" w:rsidRDefault="0042580D" w:rsidP="0042580D">
      <w:pPr>
        <w:spacing w:before="120" w:after="120" w:line="300" w:lineRule="exact"/>
        <w:ind w:firstLine="720"/>
        <w:jc w:val="both"/>
        <w:rPr>
          <w:sz w:val="28"/>
          <w:szCs w:val="26"/>
        </w:rPr>
      </w:pPr>
      <w:r>
        <w:rPr>
          <w:sz w:val="28"/>
          <w:szCs w:val="26"/>
        </w:rPr>
        <w:t>- Hướng dẫn các tổ chức tôn giáo và cơ sở tín ngưỡng dân gian đăng ký Chương trình sinh hoạt hàng năm theo quy định.</w:t>
      </w:r>
    </w:p>
    <w:p w:rsidR="0042580D" w:rsidRDefault="0042580D" w:rsidP="0042580D">
      <w:pPr>
        <w:spacing w:before="120" w:after="120" w:line="300" w:lineRule="exact"/>
        <w:ind w:firstLine="720"/>
        <w:jc w:val="both"/>
        <w:rPr>
          <w:sz w:val="28"/>
          <w:szCs w:val="26"/>
        </w:rPr>
      </w:pPr>
      <w:r>
        <w:rPr>
          <w:sz w:val="28"/>
          <w:szCs w:val="26"/>
        </w:rPr>
        <w:t>- Tổ chức thăm, chúc Tết, tham dự các lễ kỷ niệm các bổn đạo ở các tổ chức tôn giáo.</w:t>
      </w:r>
    </w:p>
    <w:p w:rsidR="0042580D" w:rsidRDefault="0042580D" w:rsidP="0042580D">
      <w:pPr>
        <w:spacing w:before="120" w:after="120" w:line="300" w:lineRule="exact"/>
        <w:ind w:firstLine="720"/>
        <w:jc w:val="both"/>
        <w:rPr>
          <w:sz w:val="28"/>
          <w:szCs w:val="26"/>
        </w:rPr>
      </w:pPr>
      <w:r>
        <w:rPr>
          <w:sz w:val="28"/>
          <w:szCs w:val="26"/>
        </w:rPr>
        <w:t>- Kiểm tra nâng chất các nơi thờ tự văn hóa ở các tổ chức tôn giáo.</w:t>
      </w:r>
    </w:p>
    <w:p w:rsidR="0042580D" w:rsidRDefault="0042580D" w:rsidP="0042580D">
      <w:pPr>
        <w:spacing w:before="120" w:after="120" w:line="300" w:lineRule="exact"/>
        <w:ind w:firstLine="720"/>
        <w:jc w:val="both"/>
        <w:rPr>
          <w:sz w:val="28"/>
          <w:szCs w:val="26"/>
        </w:rPr>
      </w:pPr>
      <w:r>
        <w:rPr>
          <w:sz w:val="28"/>
          <w:szCs w:val="26"/>
        </w:rPr>
        <w:t>- Phối hợp Mặt trận Tổ quốc các Đoàn thể tổ chức tuyên truyền các chủ trương, chính sách của Đảng, pháp luật nhà nước đến các tín đồ tôn giáo nhằm nâng cao nhận thức và tạo sự đồng thuận trong chức sắc, chức việc và tín đồ, đảm bảo mọi sinh hoạt của các tổ chức tôn giáo đều tuân thủ theo pháp luật, đúng phương châm “Tốt đời đẹp đạo” làm tròn nghĩa vụ một công dân nơi cư trú; đồng thời cũng tạo sự gần gũi, gắn bó, hài hòa và tạo niềm tin của chức sắc, các tín đồ đối với chính quyền địa phương, nắm bắt, giải quyết kịp thời các vấn đề có liên quan đến tôn giáo.</w:t>
      </w:r>
    </w:p>
    <w:p w:rsidR="0042580D" w:rsidRDefault="0042580D" w:rsidP="0042580D">
      <w:pPr>
        <w:pStyle w:val="NormalWeb"/>
        <w:spacing w:before="120" w:beforeAutospacing="0" w:after="120" w:afterAutospacing="0" w:line="300" w:lineRule="exact"/>
        <w:ind w:firstLine="840"/>
        <w:jc w:val="both"/>
        <w:rPr>
          <w:sz w:val="28"/>
          <w:szCs w:val="28"/>
        </w:rPr>
      </w:pPr>
      <w:r>
        <w:rPr>
          <w:sz w:val="28"/>
          <w:szCs w:val="28"/>
        </w:rPr>
        <w:lastRenderedPageBreak/>
        <w:t>Tóm lại năm 2016 hoạt động quản lý nhà nước về tôn giáo trên địa bàn xã đã đạt nhiều kết quả nhất định, đáp ứng được yêu cầu tín ngưỡng, tôn giáo của nhân dân. Cụ thể những ngày lễ trọng đại của các tổ chức tôn giáo được tổ chức chu đáo, long trọng; Hàng năm Lễ Phật Đản, Mừng Chúa giáng sinh (Lễ Noel), và Lễ Khai sáng đạo,… có hàng trăm lượt người (kể cả tín đồ, nhân dân) tham dự đã diễn ra trên địa bàn xã ngày thêm phần quy mô, hoành tráng, trọng thể và những lần tổ chức sau luôn tốt hơn trước. Điều đó, chứng tỏ Chính quyền các cấp đã quan tâm tạo điều kiện thuận lợi cho người dân có tín ngưỡng tôn giáo được bày tỏ đức tin đối với Đấng tối cao của tôn giáo, tham dự khá đầy đủ các ngày lễ, hội của tôn giáo mình trong không khí trang nghiêm, trật tự và an toàn.</w:t>
      </w:r>
    </w:p>
    <w:p w:rsidR="0042580D" w:rsidRDefault="0042580D" w:rsidP="0042580D">
      <w:pPr>
        <w:pStyle w:val="NormalWeb"/>
        <w:spacing w:before="120" w:beforeAutospacing="0" w:after="120" w:afterAutospacing="0" w:line="300" w:lineRule="exact"/>
        <w:ind w:firstLine="720"/>
        <w:jc w:val="both"/>
        <w:rPr>
          <w:bCs/>
          <w:sz w:val="28"/>
          <w:szCs w:val="28"/>
        </w:rPr>
      </w:pPr>
      <w:r>
        <w:rPr>
          <w:bCs/>
          <w:sz w:val="28"/>
          <w:szCs w:val="28"/>
        </w:rPr>
        <w:t>Trên cơ sở nắm chắc tình hình của các tổ chức tôn giáo, công tác quản lý Nhà nước về tôn giáo ngày càng chặt chẽ và đi vào ổn định. Qua đó, tăng cường quản lý nhà nước đối với hoạt động tôn giáo trên địa bàn theo quy định của pháp luật.</w:t>
      </w:r>
    </w:p>
    <w:p w:rsidR="0042580D" w:rsidRDefault="0042580D" w:rsidP="0042580D">
      <w:pPr>
        <w:pStyle w:val="NormalWeb"/>
        <w:spacing w:before="120" w:beforeAutospacing="0" w:after="120" w:afterAutospacing="0" w:line="300" w:lineRule="exact"/>
        <w:jc w:val="both"/>
        <w:rPr>
          <w:b/>
          <w:bCs/>
          <w:sz w:val="28"/>
          <w:szCs w:val="28"/>
        </w:rPr>
      </w:pPr>
      <w:r>
        <w:rPr>
          <w:bCs/>
          <w:sz w:val="28"/>
          <w:szCs w:val="28"/>
        </w:rPr>
        <w:tab/>
      </w:r>
      <w:r>
        <w:rPr>
          <w:b/>
          <w:bCs/>
          <w:sz w:val="28"/>
          <w:szCs w:val="28"/>
        </w:rPr>
        <w:t>III. PHƯƠNG HƯỚNG NHIỆM VỤ QUẢN LÝ NHÀ NƯỚC VỀ TÔN GIÁO NĂM 2017</w:t>
      </w:r>
    </w:p>
    <w:p w:rsidR="0042580D" w:rsidRDefault="0042580D" w:rsidP="0042580D">
      <w:pPr>
        <w:pStyle w:val="NormalWeb"/>
        <w:spacing w:before="120" w:beforeAutospacing="0" w:after="120" w:afterAutospacing="0" w:line="300" w:lineRule="exact"/>
        <w:jc w:val="both"/>
        <w:rPr>
          <w:b/>
          <w:bCs/>
          <w:sz w:val="28"/>
          <w:szCs w:val="28"/>
        </w:rPr>
      </w:pPr>
      <w:r>
        <w:rPr>
          <w:bCs/>
          <w:sz w:val="28"/>
          <w:szCs w:val="28"/>
        </w:rPr>
        <w:tab/>
      </w:r>
      <w:r>
        <w:rPr>
          <w:b/>
          <w:bCs/>
          <w:sz w:val="28"/>
          <w:szCs w:val="28"/>
        </w:rPr>
        <w:t>1. Công tác quản lý</w:t>
      </w:r>
    </w:p>
    <w:p w:rsidR="0042580D" w:rsidRDefault="0042580D" w:rsidP="0042580D">
      <w:pPr>
        <w:pStyle w:val="NormalWeb"/>
        <w:spacing w:before="120" w:beforeAutospacing="0" w:after="120" w:afterAutospacing="0" w:line="300" w:lineRule="exact"/>
        <w:jc w:val="both"/>
        <w:rPr>
          <w:bCs/>
          <w:sz w:val="28"/>
          <w:szCs w:val="28"/>
        </w:rPr>
      </w:pPr>
      <w:r>
        <w:rPr>
          <w:bCs/>
          <w:sz w:val="28"/>
          <w:szCs w:val="28"/>
        </w:rPr>
        <w:tab/>
        <w:t>- Nâng cao chất lượng hoạt động của Tổ chỉ đạo và công chức phụ trách tôn giáo.</w:t>
      </w:r>
    </w:p>
    <w:p w:rsidR="0042580D" w:rsidRDefault="0042580D" w:rsidP="0042580D">
      <w:pPr>
        <w:pStyle w:val="NormalWeb"/>
        <w:spacing w:before="120" w:beforeAutospacing="0" w:after="120" w:afterAutospacing="0" w:line="300" w:lineRule="exact"/>
        <w:jc w:val="both"/>
        <w:rPr>
          <w:bCs/>
          <w:sz w:val="28"/>
          <w:szCs w:val="28"/>
        </w:rPr>
      </w:pPr>
      <w:r>
        <w:rPr>
          <w:bCs/>
          <w:sz w:val="28"/>
          <w:szCs w:val="28"/>
        </w:rPr>
        <w:tab/>
        <w:t>- Tăng cường công tác nắm tình hình nhằm ngăn chặn kịp thời các hoạt động tôn giáo trái pháp luật đồng thời xem xét giải quyết kịp thời theo đúng quy định pháp luật đối với nhu cầu sinh hoạt chính đáng của các tổ chức tôn giáo và các cơ sở tín ngưỡng dân gian.</w:t>
      </w:r>
    </w:p>
    <w:p w:rsidR="0042580D" w:rsidRDefault="0042580D" w:rsidP="0042580D">
      <w:pPr>
        <w:pStyle w:val="NormalWeb"/>
        <w:spacing w:before="120" w:beforeAutospacing="0" w:after="120" w:afterAutospacing="0" w:line="300" w:lineRule="exact"/>
        <w:jc w:val="both"/>
        <w:rPr>
          <w:bCs/>
          <w:sz w:val="28"/>
          <w:szCs w:val="28"/>
        </w:rPr>
      </w:pPr>
      <w:r>
        <w:rPr>
          <w:bCs/>
          <w:sz w:val="28"/>
          <w:szCs w:val="28"/>
        </w:rPr>
        <w:tab/>
        <w:t>- Thống kê, cập nhật số liệu về chức sắc, chức việc, tín đồ ở các tổ chức tôn giáo và nắm tình hình hoạt động tôn giáo nhằm phục vụ cho công tác quản lý nhà nước về tôn giáo.</w:t>
      </w:r>
    </w:p>
    <w:p w:rsidR="0042580D" w:rsidRDefault="0042580D" w:rsidP="0042580D">
      <w:pPr>
        <w:pStyle w:val="NormalWeb"/>
        <w:spacing w:before="120" w:beforeAutospacing="0" w:after="120" w:afterAutospacing="0" w:line="300" w:lineRule="exact"/>
        <w:jc w:val="both"/>
        <w:rPr>
          <w:bCs/>
          <w:sz w:val="28"/>
          <w:szCs w:val="28"/>
        </w:rPr>
      </w:pPr>
      <w:r>
        <w:rPr>
          <w:bCs/>
          <w:sz w:val="28"/>
          <w:szCs w:val="28"/>
        </w:rPr>
        <w:tab/>
        <w:t>- Kịp thời báo cáo về trên khi có xuất hiện “Đạo lạ”, “Tà đạo”, hiện tượng biến gia thành tự và các hoạt động có biểu hiện trái quy định pháp luật.</w:t>
      </w:r>
    </w:p>
    <w:p w:rsidR="0042580D" w:rsidRDefault="0042580D" w:rsidP="0042580D">
      <w:pPr>
        <w:pStyle w:val="NormalWeb"/>
        <w:spacing w:before="120" w:beforeAutospacing="0" w:after="120" w:afterAutospacing="0" w:line="300" w:lineRule="exact"/>
        <w:jc w:val="both"/>
        <w:rPr>
          <w:b/>
          <w:bCs/>
          <w:sz w:val="28"/>
          <w:szCs w:val="28"/>
        </w:rPr>
      </w:pPr>
      <w:r>
        <w:rPr>
          <w:bCs/>
          <w:sz w:val="28"/>
          <w:szCs w:val="28"/>
        </w:rPr>
        <w:tab/>
      </w:r>
      <w:r>
        <w:rPr>
          <w:b/>
          <w:bCs/>
          <w:sz w:val="28"/>
          <w:szCs w:val="28"/>
        </w:rPr>
        <w:t>2. Bồi dưỡng kiến thức quản lý nhà nước về tôn giáo</w:t>
      </w:r>
    </w:p>
    <w:p w:rsidR="0042580D" w:rsidRDefault="0042580D" w:rsidP="0042580D">
      <w:pPr>
        <w:pStyle w:val="NormalWeb"/>
        <w:spacing w:before="120" w:beforeAutospacing="0" w:after="120" w:afterAutospacing="0" w:line="300" w:lineRule="exact"/>
        <w:jc w:val="both"/>
        <w:rPr>
          <w:bCs/>
          <w:sz w:val="28"/>
          <w:szCs w:val="28"/>
        </w:rPr>
      </w:pPr>
      <w:r>
        <w:rPr>
          <w:bCs/>
          <w:sz w:val="28"/>
          <w:szCs w:val="28"/>
        </w:rPr>
        <w:tab/>
        <w:t>- Tham dự các lớp tập huấn về công tác tôn giáo do huyện hoặc tỉnh tổ chức khi có chiêu sinh.</w:t>
      </w:r>
    </w:p>
    <w:p w:rsidR="0042580D" w:rsidRDefault="0042580D" w:rsidP="0042580D">
      <w:pPr>
        <w:pStyle w:val="NormalWeb"/>
        <w:spacing w:before="120" w:beforeAutospacing="0" w:after="120" w:afterAutospacing="0" w:line="300" w:lineRule="exact"/>
        <w:jc w:val="both"/>
        <w:rPr>
          <w:bCs/>
          <w:sz w:val="28"/>
          <w:szCs w:val="28"/>
        </w:rPr>
      </w:pPr>
      <w:r>
        <w:rPr>
          <w:bCs/>
          <w:sz w:val="28"/>
          <w:szCs w:val="28"/>
        </w:rPr>
        <w:tab/>
        <w:t>- Thường xuyên cập nhật các văn bản pháp luật mới về tôn giáo nhằm bổ sung kiến thức đồng thời làm cơ sở tuyên truyền trong tín đồ tôn giáo và nhân dân.</w:t>
      </w:r>
    </w:p>
    <w:p w:rsidR="0042580D" w:rsidRDefault="0042580D" w:rsidP="0042580D">
      <w:pPr>
        <w:pStyle w:val="NormalWeb"/>
        <w:spacing w:before="120" w:beforeAutospacing="0" w:after="120" w:afterAutospacing="0" w:line="300" w:lineRule="exact"/>
        <w:jc w:val="both"/>
        <w:rPr>
          <w:bCs/>
          <w:sz w:val="28"/>
          <w:szCs w:val="28"/>
        </w:rPr>
      </w:pPr>
      <w:r>
        <w:rPr>
          <w:bCs/>
          <w:sz w:val="28"/>
          <w:szCs w:val="28"/>
        </w:rPr>
        <w:tab/>
        <w:t>- Tiếp tục triển khai quán triệt Nghị định 92/2012/NĐ-CP của Chính phủ và các văn bản chỉ đạo của cấp trên cho cán bộ, công chức nhằm thống nhất về nhận thức trong tổ chức thực hiện công tác quản lý nhà nước về tôn giáo.</w:t>
      </w:r>
    </w:p>
    <w:p w:rsidR="0042580D" w:rsidRDefault="0042580D" w:rsidP="0042580D">
      <w:pPr>
        <w:pStyle w:val="NormalWeb"/>
        <w:spacing w:before="120" w:beforeAutospacing="0" w:after="120" w:afterAutospacing="0" w:line="300" w:lineRule="exact"/>
        <w:jc w:val="both"/>
        <w:rPr>
          <w:b/>
          <w:bCs/>
          <w:sz w:val="28"/>
          <w:szCs w:val="28"/>
        </w:rPr>
      </w:pPr>
      <w:r>
        <w:rPr>
          <w:bCs/>
          <w:sz w:val="28"/>
          <w:szCs w:val="28"/>
        </w:rPr>
        <w:tab/>
      </w:r>
      <w:r>
        <w:rPr>
          <w:b/>
          <w:bCs/>
          <w:sz w:val="28"/>
          <w:szCs w:val="28"/>
        </w:rPr>
        <w:t>3. Thực hiện các chủ trương có liên quan đến tôn giáo</w:t>
      </w:r>
    </w:p>
    <w:p w:rsidR="0042580D" w:rsidRDefault="0042580D" w:rsidP="0042580D">
      <w:pPr>
        <w:pStyle w:val="NormalWeb"/>
        <w:spacing w:before="120" w:beforeAutospacing="0" w:after="120" w:afterAutospacing="0" w:line="300" w:lineRule="exact"/>
        <w:jc w:val="both"/>
        <w:rPr>
          <w:bCs/>
          <w:sz w:val="28"/>
          <w:szCs w:val="28"/>
        </w:rPr>
      </w:pPr>
      <w:r>
        <w:rPr>
          <w:bCs/>
          <w:sz w:val="28"/>
          <w:szCs w:val="28"/>
        </w:rPr>
        <w:lastRenderedPageBreak/>
        <w:tab/>
        <w:t>- Phối hợp Mặt trận Tổ quốc, các Ngành, Đoàn thể tuyên truyền trong tín đồ và nhân dân về những chủ trương, chính sách của Đảng và pháp luật Nhà nước nhất là các vấn đề có liên quan đến tôn giáo nhằm đảm bảo mọi sinh hoạt tôn giáo đều tuân thủ theo quy định pháp luật; vận động các tổ chức tôn giáo tham gia tích cực vào các cuộc vận động, các phong trào thi đua yêu nước, các hoạt động từ thiện xã hội ở địa phương.</w:t>
      </w:r>
    </w:p>
    <w:p w:rsidR="0042580D" w:rsidRDefault="0042580D" w:rsidP="0042580D">
      <w:pPr>
        <w:pStyle w:val="NormalWeb"/>
        <w:spacing w:before="120" w:beforeAutospacing="0" w:after="120" w:afterAutospacing="0" w:line="300" w:lineRule="exact"/>
        <w:jc w:val="both"/>
        <w:rPr>
          <w:bCs/>
          <w:sz w:val="28"/>
          <w:szCs w:val="28"/>
        </w:rPr>
      </w:pPr>
      <w:r>
        <w:rPr>
          <w:bCs/>
          <w:sz w:val="28"/>
          <w:szCs w:val="28"/>
        </w:rPr>
        <w:tab/>
        <w:t>- Tăng cường công tác nắm bắt tâm tư, nguyện vọng chính đáng, gần gũi, hài hòa, xây dựng mối quan hệ gắn bó nhằm tạo được niềm tin của các chức sắc, tín đồ tôn giáo đối Đảng, chính quyền; giải quyết ráo rẽ các vấn đề có liên quan đến tôn giáo không để diễn biến phức tạp; giám sát hướng dẫn, nhắc nhỡ các tổ chức tôn giáo hành đạo đúng theo quy định pháp luật, đúng nội dung, chương trình đã đăng ký, đúng Hiến chương, đường hướng hành đạo của từng tôn giáo.</w:t>
      </w:r>
    </w:p>
    <w:p w:rsidR="0042580D" w:rsidRDefault="0042580D" w:rsidP="0042580D">
      <w:pPr>
        <w:pStyle w:val="NormalWeb"/>
        <w:spacing w:before="120" w:beforeAutospacing="0" w:after="120" w:afterAutospacing="0" w:line="300" w:lineRule="exact"/>
        <w:jc w:val="both"/>
        <w:rPr>
          <w:bCs/>
          <w:sz w:val="28"/>
          <w:szCs w:val="28"/>
        </w:rPr>
      </w:pPr>
      <w:r>
        <w:rPr>
          <w:bCs/>
          <w:sz w:val="28"/>
          <w:szCs w:val="28"/>
        </w:rPr>
        <w:tab/>
        <w:t>- Phối hợp tổ chức đoàn thăm, tặng quà một số tổ chức tôn giáo, các cơ sở thờ tự nhân dịp Tết Cổ truyền và các ngày lễ trọng của tôn giáo.</w:t>
      </w:r>
    </w:p>
    <w:p w:rsidR="0042580D" w:rsidRDefault="0042580D" w:rsidP="0042580D">
      <w:pPr>
        <w:pStyle w:val="NormalWeb"/>
        <w:spacing w:before="120" w:beforeAutospacing="0" w:after="120" w:afterAutospacing="0" w:line="300" w:lineRule="exact"/>
        <w:jc w:val="both"/>
        <w:rPr>
          <w:bCs/>
          <w:sz w:val="28"/>
          <w:szCs w:val="28"/>
        </w:rPr>
      </w:pPr>
      <w:r>
        <w:rPr>
          <w:bCs/>
          <w:sz w:val="28"/>
          <w:szCs w:val="28"/>
        </w:rPr>
        <w:tab/>
        <w:t>Trên đây là một số nội dung thực hiện công tác quản lý nhà nước về tôn giáo năm 2016 và phương hướng nhiệm vụ năm 2017 của Ủy ban nhân dân xã Mỹ Thạnh xin báo cáo về Ủy ban nhân dân huyện, phòng Nội vụ huyện nắm, theo dõi./.</w:t>
      </w:r>
    </w:p>
    <w:p w:rsidR="0042580D" w:rsidRDefault="0042580D" w:rsidP="0042580D">
      <w:pPr>
        <w:pStyle w:val="NormalWeb"/>
        <w:spacing w:before="120" w:beforeAutospacing="0" w:after="120" w:afterAutospacing="0" w:line="300" w:lineRule="exact"/>
        <w:jc w:val="both"/>
        <w:rPr>
          <w:sz w:val="28"/>
          <w:szCs w:val="2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34"/>
        <w:gridCol w:w="1385"/>
        <w:gridCol w:w="3585"/>
      </w:tblGrid>
      <w:tr w:rsidR="0042580D" w:rsidTr="0042580D">
        <w:trPr>
          <w:trHeight w:val="277"/>
        </w:trPr>
        <w:tc>
          <w:tcPr>
            <w:tcW w:w="4034" w:type="dxa"/>
            <w:hideMark/>
          </w:tcPr>
          <w:p w:rsidR="0042580D" w:rsidRDefault="0042580D">
            <w:pPr>
              <w:jc w:val="both"/>
              <w:rPr>
                <w:b/>
                <w:i/>
              </w:rPr>
            </w:pPr>
            <w:r>
              <w:rPr>
                <w:b/>
                <w:i/>
              </w:rPr>
              <w:t>Nơi nhận:</w:t>
            </w:r>
          </w:p>
        </w:tc>
        <w:tc>
          <w:tcPr>
            <w:tcW w:w="1385" w:type="dxa"/>
          </w:tcPr>
          <w:p w:rsidR="0042580D" w:rsidRDefault="0042580D">
            <w:pPr>
              <w:jc w:val="both"/>
              <w:rPr>
                <w:sz w:val="28"/>
                <w:szCs w:val="28"/>
              </w:rPr>
            </w:pPr>
          </w:p>
        </w:tc>
        <w:tc>
          <w:tcPr>
            <w:tcW w:w="3585" w:type="dxa"/>
            <w:hideMark/>
          </w:tcPr>
          <w:p w:rsidR="0042580D" w:rsidRDefault="0042580D">
            <w:pPr>
              <w:jc w:val="center"/>
              <w:rPr>
                <w:b/>
                <w:sz w:val="28"/>
                <w:szCs w:val="28"/>
              </w:rPr>
            </w:pPr>
            <w:r>
              <w:rPr>
                <w:b/>
                <w:sz w:val="28"/>
                <w:szCs w:val="28"/>
              </w:rPr>
              <w:t>CHỦ TỊCH</w:t>
            </w:r>
          </w:p>
        </w:tc>
      </w:tr>
      <w:tr w:rsidR="0042580D" w:rsidTr="0042580D">
        <w:tc>
          <w:tcPr>
            <w:tcW w:w="4034" w:type="dxa"/>
          </w:tcPr>
          <w:p w:rsidR="0042580D" w:rsidRDefault="0042580D">
            <w:pPr>
              <w:jc w:val="both"/>
              <w:rPr>
                <w:sz w:val="22"/>
                <w:szCs w:val="28"/>
              </w:rPr>
            </w:pPr>
            <w:r>
              <w:rPr>
                <w:sz w:val="22"/>
                <w:szCs w:val="28"/>
              </w:rPr>
              <w:t>- UBND huyện;</w:t>
            </w:r>
          </w:p>
          <w:p w:rsidR="0042580D" w:rsidRDefault="0042580D">
            <w:pPr>
              <w:jc w:val="both"/>
              <w:rPr>
                <w:sz w:val="22"/>
                <w:szCs w:val="28"/>
              </w:rPr>
            </w:pPr>
            <w:r>
              <w:rPr>
                <w:sz w:val="22"/>
                <w:szCs w:val="28"/>
              </w:rPr>
              <w:t>- Phòng Nội vụ huyện;</w:t>
            </w:r>
          </w:p>
          <w:p w:rsidR="0042580D" w:rsidRDefault="0042580D">
            <w:pPr>
              <w:jc w:val="both"/>
              <w:rPr>
                <w:sz w:val="22"/>
                <w:szCs w:val="28"/>
              </w:rPr>
            </w:pPr>
            <w:r>
              <w:rPr>
                <w:sz w:val="22"/>
                <w:szCs w:val="28"/>
              </w:rPr>
              <w:t>- TT. Đảng ủy; HĐND xã;</w:t>
            </w:r>
          </w:p>
          <w:p w:rsidR="0042580D" w:rsidRDefault="0042580D">
            <w:pPr>
              <w:jc w:val="both"/>
              <w:rPr>
                <w:sz w:val="22"/>
                <w:szCs w:val="28"/>
              </w:rPr>
            </w:pPr>
            <w:r>
              <w:rPr>
                <w:sz w:val="22"/>
                <w:szCs w:val="28"/>
              </w:rPr>
              <w:t>- MTTQ, các đoàn thể;</w:t>
            </w:r>
          </w:p>
          <w:p w:rsidR="0042580D" w:rsidRDefault="0042580D">
            <w:pPr>
              <w:jc w:val="both"/>
              <w:rPr>
                <w:sz w:val="22"/>
                <w:szCs w:val="28"/>
              </w:rPr>
            </w:pPr>
            <w:r>
              <w:rPr>
                <w:sz w:val="22"/>
                <w:szCs w:val="28"/>
              </w:rPr>
              <w:t>- Chủ tịch, các PCT;</w:t>
            </w:r>
          </w:p>
          <w:p w:rsidR="0042580D" w:rsidRDefault="0042580D">
            <w:pPr>
              <w:jc w:val="both"/>
              <w:rPr>
                <w:sz w:val="22"/>
                <w:szCs w:val="28"/>
              </w:rPr>
            </w:pPr>
            <w:r>
              <w:rPr>
                <w:sz w:val="22"/>
                <w:szCs w:val="28"/>
              </w:rPr>
              <w:t>- Lưu: VT, Viet.15b.</w:t>
            </w:r>
          </w:p>
          <w:p w:rsidR="0042580D" w:rsidRDefault="0042580D">
            <w:pPr>
              <w:jc w:val="both"/>
              <w:rPr>
                <w:sz w:val="22"/>
                <w:szCs w:val="28"/>
              </w:rPr>
            </w:pPr>
          </w:p>
        </w:tc>
        <w:tc>
          <w:tcPr>
            <w:tcW w:w="1385" w:type="dxa"/>
          </w:tcPr>
          <w:p w:rsidR="0042580D" w:rsidRDefault="0042580D">
            <w:pPr>
              <w:jc w:val="both"/>
              <w:rPr>
                <w:sz w:val="28"/>
                <w:szCs w:val="28"/>
              </w:rPr>
            </w:pPr>
          </w:p>
        </w:tc>
        <w:tc>
          <w:tcPr>
            <w:tcW w:w="3585" w:type="dxa"/>
          </w:tcPr>
          <w:p w:rsidR="0042580D" w:rsidRDefault="0042580D" w:rsidP="0042580D">
            <w:pPr>
              <w:jc w:val="center"/>
              <w:rPr>
                <w:b/>
                <w:sz w:val="28"/>
                <w:szCs w:val="28"/>
              </w:rPr>
            </w:pPr>
            <w:r>
              <w:rPr>
                <w:b/>
                <w:sz w:val="28"/>
                <w:szCs w:val="28"/>
              </w:rPr>
              <w:t>Đã ký</w:t>
            </w:r>
            <w:bookmarkStart w:id="0" w:name="_GoBack"/>
            <w:bookmarkEnd w:id="0"/>
          </w:p>
          <w:p w:rsidR="0042580D" w:rsidRDefault="0042580D">
            <w:pPr>
              <w:jc w:val="center"/>
              <w:rPr>
                <w:b/>
                <w:sz w:val="28"/>
                <w:szCs w:val="28"/>
              </w:rPr>
            </w:pPr>
            <w:r>
              <w:rPr>
                <w:b/>
                <w:sz w:val="28"/>
                <w:szCs w:val="28"/>
              </w:rPr>
              <w:t>Ngô Tấn Quyền</w:t>
            </w:r>
          </w:p>
          <w:p w:rsidR="0042580D" w:rsidRDefault="0042580D">
            <w:pPr>
              <w:jc w:val="center"/>
              <w:rPr>
                <w:sz w:val="28"/>
                <w:szCs w:val="28"/>
              </w:rPr>
            </w:pPr>
          </w:p>
        </w:tc>
      </w:tr>
    </w:tbl>
    <w:p w:rsidR="0042580D" w:rsidRDefault="0042580D" w:rsidP="0042580D">
      <w:pPr>
        <w:rPr>
          <w:sz w:val="28"/>
        </w:rPr>
      </w:pPr>
    </w:p>
    <w:p w:rsidR="00004A74" w:rsidRDefault="00004A74"/>
    <w:sectPr w:rsidR="00004A74" w:rsidSect="009B685F">
      <w:footerReference w:type="default" r:id="rId7"/>
      <w:pgSz w:w="11907" w:h="16839" w:code="9"/>
      <w:pgMar w:top="1418" w:right="1134" w:bottom="130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ADF" w:rsidRDefault="000D4ADF" w:rsidP="0042580D">
      <w:r>
        <w:separator/>
      </w:r>
    </w:p>
  </w:endnote>
  <w:endnote w:type="continuationSeparator" w:id="0">
    <w:p w:rsidR="000D4ADF" w:rsidRDefault="000D4ADF" w:rsidP="0042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303979"/>
      <w:docPartObj>
        <w:docPartGallery w:val="Page Numbers (Bottom of Page)"/>
        <w:docPartUnique/>
      </w:docPartObj>
    </w:sdtPr>
    <w:sdtEndPr>
      <w:rPr>
        <w:noProof/>
      </w:rPr>
    </w:sdtEndPr>
    <w:sdtContent>
      <w:p w:rsidR="0042580D" w:rsidRDefault="0042580D" w:rsidP="0042580D">
        <w:pPr>
          <w:pStyle w:val="Footer"/>
          <w:jc w:val="center"/>
        </w:pPr>
        <w:r>
          <w:fldChar w:fldCharType="begin"/>
        </w:r>
        <w:r>
          <w:instrText xml:space="preserve"> PAGE   \* MERGEFORMAT </w:instrText>
        </w:r>
        <w:r>
          <w:fldChar w:fldCharType="separate"/>
        </w:r>
        <w:r w:rsidR="009B685F">
          <w:rPr>
            <w:noProof/>
          </w:rPr>
          <w:t>4</w:t>
        </w:r>
        <w:r>
          <w:rPr>
            <w:noProof/>
          </w:rPr>
          <w:fldChar w:fldCharType="end"/>
        </w:r>
      </w:p>
    </w:sdtContent>
  </w:sdt>
  <w:p w:rsidR="0042580D" w:rsidRDefault="00425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ADF" w:rsidRDefault="000D4ADF" w:rsidP="0042580D">
      <w:r>
        <w:separator/>
      </w:r>
    </w:p>
  </w:footnote>
  <w:footnote w:type="continuationSeparator" w:id="0">
    <w:p w:rsidR="000D4ADF" w:rsidRDefault="000D4ADF" w:rsidP="00425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80D"/>
    <w:rsid w:val="00004A74"/>
    <w:rsid w:val="000D4ADF"/>
    <w:rsid w:val="0042580D"/>
    <w:rsid w:val="009B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8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2580D"/>
    <w:pPr>
      <w:spacing w:before="100" w:beforeAutospacing="1" w:after="100" w:afterAutospacing="1"/>
    </w:pPr>
  </w:style>
  <w:style w:type="table" w:styleId="TableGrid">
    <w:name w:val="Table Grid"/>
    <w:basedOn w:val="TableNormal"/>
    <w:rsid w:val="004258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580D"/>
    <w:pPr>
      <w:tabs>
        <w:tab w:val="center" w:pos="4680"/>
        <w:tab w:val="right" w:pos="9360"/>
      </w:tabs>
    </w:pPr>
  </w:style>
  <w:style w:type="character" w:customStyle="1" w:styleId="HeaderChar">
    <w:name w:val="Header Char"/>
    <w:basedOn w:val="DefaultParagraphFont"/>
    <w:link w:val="Header"/>
    <w:uiPriority w:val="99"/>
    <w:rsid w:val="004258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580D"/>
    <w:pPr>
      <w:tabs>
        <w:tab w:val="center" w:pos="4680"/>
        <w:tab w:val="right" w:pos="9360"/>
      </w:tabs>
    </w:pPr>
  </w:style>
  <w:style w:type="character" w:customStyle="1" w:styleId="FooterChar">
    <w:name w:val="Footer Char"/>
    <w:basedOn w:val="DefaultParagraphFont"/>
    <w:link w:val="Footer"/>
    <w:uiPriority w:val="99"/>
    <w:rsid w:val="0042580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8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2580D"/>
    <w:pPr>
      <w:spacing w:before="100" w:beforeAutospacing="1" w:after="100" w:afterAutospacing="1"/>
    </w:pPr>
  </w:style>
  <w:style w:type="table" w:styleId="TableGrid">
    <w:name w:val="Table Grid"/>
    <w:basedOn w:val="TableNormal"/>
    <w:rsid w:val="004258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580D"/>
    <w:pPr>
      <w:tabs>
        <w:tab w:val="center" w:pos="4680"/>
        <w:tab w:val="right" w:pos="9360"/>
      </w:tabs>
    </w:pPr>
  </w:style>
  <w:style w:type="character" w:customStyle="1" w:styleId="HeaderChar">
    <w:name w:val="Header Char"/>
    <w:basedOn w:val="DefaultParagraphFont"/>
    <w:link w:val="Header"/>
    <w:uiPriority w:val="99"/>
    <w:rsid w:val="004258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580D"/>
    <w:pPr>
      <w:tabs>
        <w:tab w:val="center" w:pos="4680"/>
        <w:tab w:val="right" w:pos="9360"/>
      </w:tabs>
    </w:pPr>
  </w:style>
  <w:style w:type="character" w:customStyle="1" w:styleId="FooterChar">
    <w:name w:val="Footer Char"/>
    <w:basedOn w:val="DefaultParagraphFont"/>
    <w:link w:val="Footer"/>
    <w:uiPriority w:val="99"/>
    <w:rsid w:val="004258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73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7392</Characters>
  <Application>Microsoft Office Word</Application>
  <DocSecurity>0</DocSecurity>
  <Lines>61</Lines>
  <Paragraphs>17</Paragraphs>
  <ScaleCrop>false</ScaleCrop>
  <Company>Microsoft</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2016-10-13T01:12:00Z</dcterms:created>
  <dcterms:modified xsi:type="dcterms:W3CDTF">2016-10-13T01:14:00Z</dcterms:modified>
</cp:coreProperties>
</file>