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503"/>
        <w:gridCol w:w="273"/>
        <w:gridCol w:w="4688"/>
      </w:tblGrid>
      <w:tr w:rsidR="00D253DD" w:rsidTr="00777FDD">
        <w:trPr>
          <w:trHeight w:val="939"/>
        </w:trPr>
        <w:tc>
          <w:tcPr>
            <w:tcW w:w="4503" w:type="dxa"/>
          </w:tcPr>
          <w:p w:rsidR="00D253DD" w:rsidRPr="00E81006" w:rsidRDefault="00D253DD" w:rsidP="00777FDD">
            <w:pPr>
              <w:jc w:val="center"/>
              <w:rPr>
                <w:szCs w:val="28"/>
              </w:rPr>
            </w:pPr>
            <w:r w:rsidRPr="00E81006">
              <w:rPr>
                <w:szCs w:val="28"/>
              </w:rPr>
              <w:t>ĐẢNG BỘ HUYỆN GIỒNG TRÔM</w:t>
            </w:r>
          </w:p>
          <w:p w:rsidR="00D253DD" w:rsidRPr="00173C6F" w:rsidRDefault="00D253DD" w:rsidP="00777FDD">
            <w:pPr>
              <w:jc w:val="center"/>
              <w:rPr>
                <w:b/>
                <w:szCs w:val="28"/>
              </w:rPr>
            </w:pPr>
            <w:r w:rsidRPr="00173C6F">
              <w:rPr>
                <w:b/>
                <w:szCs w:val="28"/>
              </w:rPr>
              <w:t>ĐẢNG ỦY XÃ MỸ THẠNH</w:t>
            </w:r>
          </w:p>
          <w:p w:rsidR="00D253DD" w:rsidRPr="002743CD" w:rsidRDefault="00D253DD" w:rsidP="00777FDD">
            <w:pPr>
              <w:jc w:val="center"/>
              <w:rPr>
                <w:b/>
                <w:sz w:val="26"/>
              </w:rPr>
            </w:pPr>
            <w:r>
              <w:rPr>
                <w:b/>
                <w:sz w:val="26"/>
              </w:rPr>
              <w:t>*</w:t>
            </w:r>
          </w:p>
        </w:tc>
        <w:tc>
          <w:tcPr>
            <w:tcW w:w="273" w:type="dxa"/>
          </w:tcPr>
          <w:p w:rsidR="00D253DD" w:rsidRDefault="00D253DD" w:rsidP="00777FDD">
            <w:pPr>
              <w:jc w:val="both"/>
            </w:pPr>
          </w:p>
        </w:tc>
        <w:tc>
          <w:tcPr>
            <w:tcW w:w="4688" w:type="dxa"/>
          </w:tcPr>
          <w:p w:rsidR="00D253DD" w:rsidRDefault="00D253DD" w:rsidP="00777FDD">
            <w:pPr>
              <w:jc w:val="center"/>
              <w:rPr>
                <w:b/>
                <w:szCs w:val="28"/>
                <w:u w:val="single"/>
              </w:rPr>
            </w:pPr>
            <w:r w:rsidRPr="009F4078">
              <w:rPr>
                <w:b/>
                <w:szCs w:val="28"/>
                <w:u w:val="single"/>
              </w:rPr>
              <w:t>ĐẢNG CỘNG SẢN VIỆT NAM</w:t>
            </w:r>
          </w:p>
          <w:p w:rsidR="00D253DD" w:rsidRPr="009F4078" w:rsidRDefault="00D253DD" w:rsidP="00777FDD">
            <w:pPr>
              <w:jc w:val="center"/>
              <w:rPr>
                <w:b/>
                <w:szCs w:val="28"/>
                <w:u w:val="single"/>
              </w:rPr>
            </w:pPr>
            <w:r w:rsidRPr="002743CD">
              <w:rPr>
                <w:i/>
              </w:rPr>
              <w:t>Mỹ Thạ</w:t>
            </w:r>
            <w:r w:rsidR="00560C9B">
              <w:rPr>
                <w:i/>
              </w:rPr>
              <w:t>nh, ngày 07</w:t>
            </w:r>
            <w:r w:rsidR="008E3D49">
              <w:rPr>
                <w:i/>
              </w:rPr>
              <w:t xml:space="preserve"> tháng </w:t>
            </w:r>
            <w:r>
              <w:rPr>
                <w:i/>
              </w:rPr>
              <w:t>3 năm 2017</w:t>
            </w:r>
          </w:p>
        </w:tc>
      </w:tr>
      <w:tr w:rsidR="00D253DD" w:rsidTr="00777FDD">
        <w:trPr>
          <w:trHeight w:val="328"/>
        </w:trPr>
        <w:tc>
          <w:tcPr>
            <w:tcW w:w="4503" w:type="dxa"/>
          </w:tcPr>
          <w:p w:rsidR="00D253DD" w:rsidRPr="00D253DD" w:rsidRDefault="00D253DD" w:rsidP="00777FDD">
            <w:pPr>
              <w:jc w:val="center"/>
              <w:rPr>
                <w:szCs w:val="28"/>
              </w:rPr>
            </w:pPr>
            <w:r w:rsidRPr="00D253DD">
              <w:rPr>
                <w:szCs w:val="28"/>
              </w:rPr>
              <w:t>Số</w:t>
            </w:r>
            <w:r w:rsidR="0061253D">
              <w:rPr>
                <w:szCs w:val="28"/>
              </w:rPr>
              <w:t xml:space="preserve"> 48</w:t>
            </w:r>
            <w:r w:rsidRPr="00D253DD">
              <w:rPr>
                <w:szCs w:val="28"/>
              </w:rPr>
              <w:t>-KH/ĐU</w:t>
            </w:r>
          </w:p>
        </w:tc>
        <w:tc>
          <w:tcPr>
            <w:tcW w:w="273" w:type="dxa"/>
          </w:tcPr>
          <w:p w:rsidR="00D253DD" w:rsidRDefault="00D253DD" w:rsidP="00777FDD">
            <w:pPr>
              <w:jc w:val="both"/>
            </w:pPr>
          </w:p>
        </w:tc>
        <w:tc>
          <w:tcPr>
            <w:tcW w:w="4688" w:type="dxa"/>
          </w:tcPr>
          <w:p w:rsidR="00D253DD" w:rsidRPr="002743CD" w:rsidRDefault="00D253DD" w:rsidP="00777FDD">
            <w:pPr>
              <w:jc w:val="center"/>
              <w:rPr>
                <w:i/>
              </w:rPr>
            </w:pPr>
          </w:p>
        </w:tc>
      </w:tr>
    </w:tbl>
    <w:p w:rsidR="009010D7" w:rsidRDefault="009010D7" w:rsidP="00D253DD">
      <w:pPr>
        <w:jc w:val="center"/>
      </w:pPr>
    </w:p>
    <w:p w:rsidR="00D253DD" w:rsidRPr="00D253DD" w:rsidRDefault="00D253DD" w:rsidP="00D253DD">
      <w:pPr>
        <w:spacing w:after="0" w:line="240" w:lineRule="auto"/>
        <w:jc w:val="center"/>
        <w:rPr>
          <w:b/>
        </w:rPr>
      </w:pPr>
      <w:r w:rsidRPr="00D253DD">
        <w:rPr>
          <w:b/>
        </w:rPr>
        <w:t>KẾ HOẠCH</w:t>
      </w:r>
    </w:p>
    <w:p w:rsidR="00D253DD" w:rsidRPr="00D253DD" w:rsidRDefault="00D253DD" w:rsidP="00D253DD">
      <w:pPr>
        <w:spacing w:after="0" w:line="240" w:lineRule="auto"/>
        <w:jc w:val="center"/>
        <w:rPr>
          <w:b/>
        </w:rPr>
      </w:pPr>
      <w:r w:rsidRPr="00D253DD">
        <w:rPr>
          <w:b/>
        </w:rPr>
        <w:t xml:space="preserve">Thực hiện chỉ thị số 17-CT/TU của Tỉnh ủy về tăng cường lãnh đạo </w:t>
      </w:r>
    </w:p>
    <w:p w:rsidR="00D253DD" w:rsidRPr="00D253DD" w:rsidRDefault="00D253DD" w:rsidP="00D253DD">
      <w:pPr>
        <w:spacing w:after="0" w:line="240" w:lineRule="auto"/>
        <w:jc w:val="center"/>
        <w:rPr>
          <w:b/>
        </w:rPr>
      </w:pPr>
      <w:r w:rsidRPr="00D253DD">
        <w:rPr>
          <w:b/>
        </w:rPr>
        <w:t>công tác bảo đảm an ninh, trật tự năm 2017</w:t>
      </w:r>
    </w:p>
    <w:p w:rsidR="00D253DD" w:rsidRDefault="00D253DD" w:rsidP="00D253DD">
      <w:pPr>
        <w:spacing w:after="0" w:line="240" w:lineRule="auto"/>
        <w:jc w:val="center"/>
      </w:pPr>
    </w:p>
    <w:p w:rsidR="00D253DD" w:rsidRDefault="00D253DD" w:rsidP="00D253DD">
      <w:pPr>
        <w:spacing w:before="120" w:after="120" w:line="320" w:lineRule="exact"/>
        <w:jc w:val="both"/>
      </w:pPr>
      <w:r>
        <w:tab/>
        <w:t>Thực hiện Kế hoạch số 39-KH/HU ngày 10 tháng 01 năm 2017 của Ban Thường vụ Huyện ủy về tăng cường lãnh đạo công tác đảm bảo an ninh, trật tự năm 2017. Đảng ủy xã xây dựng Kế hoạch tổ chức thực hiện với những nội dung sau:</w:t>
      </w:r>
    </w:p>
    <w:p w:rsidR="00D253DD" w:rsidRPr="000C3CFC" w:rsidRDefault="00D253DD" w:rsidP="00D253DD">
      <w:pPr>
        <w:spacing w:before="120" w:after="120" w:line="320" w:lineRule="exact"/>
        <w:jc w:val="both"/>
        <w:rPr>
          <w:b/>
        </w:rPr>
      </w:pPr>
      <w:r>
        <w:tab/>
      </w:r>
      <w:r w:rsidRPr="000C3CFC">
        <w:rPr>
          <w:b/>
        </w:rPr>
        <w:t>I. MỤC ĐÍCH, YÊU CẦU</w:t>
      </w:r>
    </w:p>
    <w:p w:rsidR="00D253DD" w:rsidRDefault="00D253DD" w:rsidP="00D253DD">
      <w:pPr>
        <w:spacing w:before="120" w:after="120" w:line="320" w:lineRule="exact"/>
        <w:jc w:val="both"/>
      </w:pPr>
      <w:r>
        <w:tab/>
        <w:t>- Nhằm nâng cao tinh thần trách nhiệm của cán bộ, đảng viên và quần chúng nhân dân về công tác bảo đảm an ninh quốc gia và phòng, chống tội phạm, từ đó chủ động xây dựng các giải pháp để tổ chức thực hiện đạt mục tiêu, nhiệm vụ đề ra.</w:t>
      </w:r>
    </w:p>
    <w:p w:rsidR="00D253DD" w:rsidRDefault="00D253DD" w:rsidP="00D253DD">
      <w:pPr>
        <w:spacing w:before="120" w:after="120" w:line="320" w:lineRule="exact"/>
        <w:jc w:val="both"/>
      </w:pPr>
      <w:r>
        <w:tab/>
        <w:t>- Tập trung lãnh đạo triển khai thực hiện có hiệu quả các chủ trương của Đảng, pháp luật của Nhà nước đối với công tác bảo đảm an ninh quốc gia và giữ gìn trật tự, an toàn xã hội tại địa phương; các Chương trình quốc gia phòng, chống tội phạm gắn với Chương trình mục tiêu quốc gia xây dựng nông thôn mới, nhằm huy động sức mạnh tổng hợp của cả hệ thống chính trị và toàn dân trong công tác giữ gìn an ninh trật, tự.</w:t>
      </w:r>
    </w:p>
    <w:p w:rsidR="00D253DD" w:rsidRPr="004A50A5" w:rsidRDefault="004A50A5" w:rsidP="00D253DD">
      <w:pPr>
        <w:spacing w:before="120" w:after="120" w:line="320" w:lineRule="exact"/>
        <w:jc w:val="both"/>
        <w:rPr>
          <w:b/>
        </w:rPr>
      </w:pPr>
      <w:r>
        <w:tab/>
      </w:r>
      <w:r w:rsidRPr="004A50A5">
        <w:rPr>
          <w:b/>
        </w:rPr>
        <w:t>II. NHIỆM VỤ VÀ GIẢI PHÁP</w:t>
      </w:r>
    </w:p>
    <w:p w:rsidR="004A50A5" w:rsidRDefault="004A50A5" w:rsidP="00D253DD">
      <w:pPr>
        <w:spacing w:before="120" w:after="120" w:line="320" w:lineRule="exact"/>
        <w:jc w:val="both"/>
      </w:pPr>
      <w:r>
        <w:tab/>
        <w:t xml:space="preserve">1- Tiếp tục quán triệt, vận dung và thực hiện tốt các quan điểm, tư tưởng chỉ đạo của Đảng, Nhà nước về công tác bảo đảm an ninh, trật tự trong tình hình mới; đổi mới, nâng cao năng lực lãnh đạo, chỉ đạo toàn diện, sâu sát và trách nhiệm đối với thực hiện nhiệm vụ chính trị và toàn dân trong công tác giữ gìn an ninh, trật tự tại địa phương. Tăng cường lãnh đạo, chỉ đạo, kiểm tra, giám sát việc thực hiện công tác bảo đảm an ninh, trật tự, xem đây là nhiệm vụ trọng tâm của cấp ủy, chi ủy, thủ trưởng các ngành, đoàn thể, cơ quan, đơn vị. Trọng tâm là tập trung chỉ đạo thực hiện nghiêm túc chiến lược bảo vệ tổ quốc trong tình hình mới; Chỉ thị số 05-CT/TW của Bộ Chính trị </w:t>
      </w:r>
      <w:r w:rsidRPr="000C3CFC">
        <w:rPr>
          <w:i/>
        </w:rPr>
        <w:t>“về tăng cường lãnh đạo công tác bảo đảm an ninh quốc gia trong tình hình mới”</w:t>
      </w:r>
      <w:r>
        <w:t xml:space="preserve">; Chỉ thị số 48-CT/TW của Bộ Chính trị </w:t>
      </w:r>
      <w:r w:rsidRPr="000C3CFC">
        <w:rPr>
          <w:i/>
        </w:rPr>
        <w:t>“về tăng cường sự lãnh đạo của Đảng đối với công tác phòng, chống tội phạm trong tình hình mới”</w:t>
      </w:r>
      <w:r>
        <w:t xml:space="preserve"> và Chỉ thị số 46-CT/TW của Bộ Chính trị “về tăng cường sự lãnh đạo của Đảng đối với công tác bảo đảm an ninh, trật tự trong tình hình mới”; định kỳ sơ, tổng kết rút kinh nghiệm.</w:t>
      </w:r>
    </w:p>
    <w:p w:rsidR="000C3CFC" w:rsidRDefault="000C3CFC" w:rsidP="000C3CFC">
      <w:pPr>
        <w:spacing w:before="120" w:after="120" w:line="320" w:lineRule="exact"/>
        <w:jc w:val="both"/>
      </w:pPr>
      <w:r>
        <w:lastRenderedPageBreak/>
        <w:tab/>
        <w:t>- Đẩy mạnh công tác thông tin, tuyên truyền nhằm nâng cao nhận thức của cán bộ, đảng viên và nhân dân đối với nhiệm vụ giữ gìn ANTT; phát huy vai trò nòng cốt của lực lượng Công an, tăng cường công tác phối hợp với các ngành, đoàn thể, chủ động phòng ngừa, phát hiện, đấu tranh làm thất bại âm mưu, hoạt động “diễn biến hòa bình”, bạo loạn, khủng bố của bọn phản động, các thế lực thù địch; tăng cường công tác bảo vệ chính trị nội bộ, bảo vệ bí mật Nhà nước; triển khai có hiệu quả Nghị quyết số 04-NQ/TW của Ban Chấp hành Trung ương (khóa XII) về tăng cường xây dựng, chỉnh đốn Đảng; ngăn chặn, đẩy lùi sự suy thoái về tư tưởng chính trị, đạo đức lối sống, những biểu hiện “tự diễn biến”, “tự chuyển hóa” trong nội bộ. Giải quyết dứt điểm các mẫu thuẩn, tranh chấp, khiếu kiện trong nhân dân, tập trung giải quyết những vấn đề mới phát sinh không để kéo dài, hình thành điểm nóng, quần chúng tập trung đông người đòi yêu sách; khiếu kiện tập thể, vượt cấp làm mất ổn định tình hình an ninh, trật tự; xử lý nghiêm số đối tượng lợi dụng khiếu kiện để chống phá Đảng, Nhà nước.</w:t>
      </w:r>
    </w:p>
    <w:p w:rsidR="00A724C4" w:rsidRDefault="00A724C4" w:rsidP="000C3CFC">
      <w:pPr>
        <w:spacing w:before="120" w:after="120" w:line="320" w:lineRule="exact"/>
        <w:jc w:val="both"/>
      </w:pPr>
      <w:r>
        <w:tab/>
        <w:t xml:space="preserve">2- Ủy ban nhân dân xã thực hiện tốt công tác cải cách hành chính, nâng cao hiệu lực, hiệu quả công tác quản lý nhà nước về ANTT; tổ chức thực hiện nghiêm pháp lệnh về quản lý, sử dụng vũ khí, vật liệu nổ và công cụ hỗ trợ; tăng cường vận động thu hồi vũ khí, vật liệu nổ trái phép và rơi vãi ngoài xã hội. Làm tốt công tác quản lý cư trú, quản lý đối tượng; kiểm tra hướng, dẫn thực hiện các quy định của Nhà nước về ngành, nghề kinh doanh có điều kiện về ANTT; tăng cường công tác kiểm tra về môi trường và phòng, chống cháy nổ; phòng, chống thiên tai, dịch bệnh, tai nạn thương tích và tìm kiếm cứu nạn, cứu hộ. </w:t>
      </w:r>
      <w:r w:rsidR="00CB0D95">
        <w:t>Tiếp tục thực hiện có hiệu quả Chỉ thị số 47-CT/TW của Ban Bí thư (khóa XI</w:t>
      </w:r>
      <w:r w:rsidR="00CB0D95" w:rsidRPr="00CB0D95">
        <w:rPr>
          <w:i/>
        </w:rPr>
        <w:t>) “về tăng cường sự lãnh đạo của Đảng đối với công tác phòng cháy, chữa cháy trong tình hình mới”</w:t>
      </w:r>
      <w:r w:rsidR="00CB0D95">
        <w:t>, góp phần giảm thiểu thiệt hại về người và tài sản.</w:t>
      </w:r>
    </w:p>
    <w:p w:rsidR="00777FDD" w:rsidRDefault="00777FDD" w:rsidP="000C3CFC">
      <w:pPr>
        <w:spacing w:before="120" w:after="120" w:line="320" w:lineRule="exact"/>
        <w:jc w:val="both"/>
      </w:pPr>
      <w:r>
        <w:tab/>
        <w:t>- Tiếp tục thực hiện Chiến lược quốc gia về bảo đảm trật tự an toàn giao thông đường bộ đến năm 2020, tầm nình đến năm 2030; đổi mới công tác tuyên truyền, phổ biến, giáo dục pháp luật về trật tự an toàn giao thông; phát huy các giải pháp bảo đảm trật tự an toàn giao thông có hiệu quả trong thời gian qua. Phấn đấu kéo giảm tai nạn giao thông trên cả 3 tiêu chí, không để xảy ra ùn tắc giao thông; nâng cao tinh thần phục vụ của lực lượng công an trong công tác tuần tra kiểm soát, giải tỏa hành lang an toàn giao thông.</w:t>
      </w:r>
    </w:p>
    <w:p w:rsidR="00777FDD" w:rsidRDefault="00777FDD" w:rsidP="000C3CFC">
      <w:pPr>
        <w:spacing w:before="120" w:after="120" w:line="320" w:lineRule="exact"/>
        <w:jc w:val="both"/>
      </w:pPr>
      <w:r>
        <w:tab/>
        <w:t>- Chú trọng thực hiện nghiêm túc công tác dân vận theo Nghị quyết số 25-NQ/TW của Ban Chấp hành Trung ương (khóa XI) “về tăng cường và đổi mới sự lãnh đạo của Đảng đối với công tác dân vận trong tình hình mới”; Chỉ thị số 09-CT/TW của Ban Bí thư Trung ương Đảng (khóa XI) “về tăng cường sự lãnh đạo của Đảng đối với phong trào toàn dân bảo vệ an ninh tổ quốc trong tình hình mới”. Đổi mới hình thức, nội dung, biện pháp vận động quần chúng tham gia bảo vệ an ninh, trật tự gắn với phong trào “Toàn dân đoàn kết</w:t>
      </w:r>
      <w:r w:rsidR="004F7B14">
        <w:t xml:space="preserve">, xây dựng đời sống văn hóa ở khu dân cư” và Chương trình mục tiêu quốc gia </w:t>
      </w:r>
      <w:r w:rsidR="004F7B14">
        <w:lastRenderedPageBreak/>
        <w:t>xây dựng nông thôn mới giai đoạn 2010-2020. Tích cực xây dựng và nhân rộng các mô hình, điển hình tiên tiến trong phòng, chống tội phạm, tập trung cũng cố, nâng cao chất lượng các tổ chức nồng cốt tham gia giữ gìn ANTT.</w:t>
      </w:r>
    </w:p>
    <w:p w:rsidR="004F7B14" w:rsidRDefault="004F7B14" w:rsidP="000C3CFC">
      <w:pPr>
        <w:spacing w:before="120" w:after="120" w:line="320" w:lineRule="exact"/>
        <w:jc w:val="both"/>
      </w:pPr>
      <w:r>
        <w:tab/>
        <w:t>3- Lực lượng Công an xã tăng cường công tác nắm tình hình, nghiên cứu, phân tích, đánh giá, dự báo tình hình, kịp thời tham mưu cho Đảng ủy, Ủy ban nhân dân xã trong lãnh đạo, chỉ đạo công tác giữ gìn trật tự an toàn xã hội; chủ động có phương án, kế hoạch bảo vệ tuyệt đối an toàn các ngày lễ và sự kiện chính trị, văn hóa quan trọng của đất nước và địa phương; bảo vệ các đồng chí lãnh đạo Đảng, Nhà nước đến thăm và làm việc tại địa phương.</w:t>
      </w:r>
    </w:p>
    <w:p w:rsidR="0082692F" w:rsidRDefault="0082692F" w:rsidP="000C3CFC">
      <w:pPr>
        <w:spacing w:before="120" w:after="120" w:line="320" w:lineRule="exact"/>
        <w:jc w:val="both"/>
      </w:pPr>
      <w:r>
        <w:tab/>
        <w:t>- Tăng cường các giải pháp nâng cao hiệu quả công tác phòng ngừa nghiệp vụ và phòng ngừa xã hội, phấn đấu kéo giảm  02 vụ phạm pháp hình sự và 04 vụ tệ nạn xã hội so với năm  2016. Thực hiện tốt các đợt cao điểm tấn công, trấn áp tội phạm và đảm bảo trật tự an toàn giao thông trên địa bàn xã; triệt phá các tụ điểm tệ nạn xã hội</w:t>
      </w:r>
      <w:r w:rsidR="00A011C8">
        <w:t>. Quản lý chặc chẽ các loại đối tượng hình sự, nhất là số có tiền án, tiền sự, đặc xá về địa phương; quan tâm công tác xử lý vi phạm hành chính để giảm nguồn phát sinh tội phạm. Tập trung đấu tranh mạnh với tội phạm ma túy, kiêm chế sự gia tăng người nghiện ma túy. Thực hiện tốt công tác tiếp nhận, giải quyết tố giác, tin báo về tội phạm.</w:t>
      </w:r>
    </w:p>
    <w:p w:rsidR="00A011C8" w:rsidRDefault="00A011C8" w:rsidP="000C3CFC">
      <w:pPr>
        <w:spacing w:before="120" w:after="120" w:line="320" w:lineRule="exact"/>
        <w:jc w:val="both"/>
      </w:pPr>
      <w:r>
        <w:tab/>
        <w:t>4- Lực lượng Công an, quân sự tăng cường công tác phối hợp trong triển khai thực hiện nhiệm vụ bảo đảm an ninh, trật tự; nòng cốt trong thực hiện Nghị định</w:t>
      </w:r>
      <w:r w:rsidR="004E44AF">
        <w:t xml:space="preserve"> 133/2015/NĐ-CP ngày 28/12/2015 của Chính phủ. </w:t>
      </w:r>
    </w:p>
    <w:p w:rsidR="00327A70" w:rsidRDefault="00327A70" w:rsidP="000C3CFC">
      <w:pPr>
        <w:spacing w:before="120" w:after="120" w:line="320" w:lineRule="exact"/>
        <w:jc w:val="both"/>
      </w:pPr>
      <w:r>
        <w:tab/>
        <w:t>5- Tăng cường xây dựng Đảng, xây dựng lực lượng công an trong sạch, vững mạnh, tinh thông nghiệp vụ, có bản lĩnh chính trị vững vàng, đạo đức trong sáng, tuyệt đối trung thành với Đảng, Nhà nước, gắn bó mật thiết với nhân dân</w:t>
      </w:r>
      <w:r w:rsidR="00987D71">
        <w:t>, cũng cố sự đoàn kết nhất trí trong nội bộ, tăng cường công tác giáo dục chính trị tư tưởng, cũng cố kiện toàn tổ chức, bộ máy, đáp ứng tốt yêu cầu công tác, chiến đấu trong tình hình mới.</w:t>
      </w:r>
    </w:p>
    <w:p w:rsidR="008F1D7D" w:rsidRPr="008F1D7D" w:rsidRDefault="008F1D7D" w:rsidP="000C3CFC">
      <w:pPr>
        <w:spacing w:before="120" w:after="120" w:line="320" w:lineRule="exact"/>
        <w:jc w:val="both"/>
        <w:rPr>
          <w:b/>
        </w:rPr>
      </w:pPr>
      <w:r>
        <w:tab/>
      </w:r>
      <w:r w:rsidRPr="008F1D7D">
        <w:rPr>
          <w:b/>
        </w:rPr>
        <w:t>III. TỔ CHỨC THỰC HIỆN</w:t>
      </w:r>
    </w:p>
    <w:p w:rsidR="008F1D7D" w:rsidRDefault="00DC6CE0" w:rsidP="000C3CFC">
      <w:pPr>
        <w:spacing w:before="120" w:after="120" w:line="320" w:lineRule="exact"/>
        <w:jc w:val="both"/>
      </w:pPr>
      <w:r>
        <w:tab/>
        <w:t>Kế hoạch này được triển khai đên các ngành, đoàn thể, các chi bộ tổ chức thực hiện. Giao Ban Chỉ huy Công an xã có trách nhiệm giúp Đảng ủy theo dõi, kiểm tra, đốn đốc việc triển khai thực hiện kế hoạch này; định kỳ 6 tháng, cuối năm báo cáo kết quả về Ban Thường vụ Đảng ủy theo dõi chỉ đạo./.</w:t>
      </w:r>
    </w:p>
    <w:tbl>
      <w:tblPr>
        <w:tblStyle w:val="TableGrid"/>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709"/>
        <w:gridCol w:w="3827"/>
      </w:tblGrid>
      <w:tr w:rsidR="008E0EB2" w:rsidTr="00201718">
        <w:tc>
          <w:tcPr>
            <w:tcW w:w="4503" w:type="dxa"/>
          </w:tcPr>
          <w:p w:rsidR="008E0EB2" w:rsidRPr="001A34A7" w:rsidRDefault="008E0EB2" w:rsidP="00201718">
            <w:pPr>
              <w:rPr>
                <w:rFonts w:cs="Times New Roman"/>
                <w:szCs w:val="28"/>
                <w:u w:val="single"/>
              </w:rPr>
            </w:pPr>
            <w:r w:rsidRPr="001A34A7">
              <w:rPr>
                <w:rFonts w:cs="Times New Roman"/>
                <w:szCs w:val="28"/>
                <w:u w:val="single"/>
              </w:rPr>
              <w:t>Nơi nhận:</w:t>
            </w:r>
          </w:p>
        </w:tc>
        <w:tc>
          <w:tcPr>
            <w:tcW w:w="709" w:type="dxa"/>
          </w:tcPr>
          <w:p w:rsidR="008E0EB2" w:rsidRDefault="008E0EB2" w:rsidP="00201718">
            <w:pPr>
              <w:rPr>
                <w:rFonts w:cs="Times New Roman"/>
                <w:szCs w:val="28"/>
              </w:rPr>
            </w:pPr>
          </w:p>
        </w:tc>
        <w:tc>
          <w:tcPr>
            <w:tcW w:w="3827" w:type="dxa"/>
          </w:tcPr>
          <w:p w:rsidR="008E0EB2" w:rsidRPr="001A34A7" w:rsidRDefault="008E0EB2" w:rsidP="00201718">
            <w:pPr>
              <w:jc w:val="center"/>
              <w:rPr>
                <w:rFonts w:cs="Times New Roman"/>
                <w:b/>
                <w:szCs w:val="28"/>
              </w:rPr>
            </w:pPr>
            <w:r w:rsidRPr="001A34A7">
              <w:rPr>
                <w:rFonts w:cs="Times New Roman"/>
                <w:b/>
                <w:szCs w:val="28"/>
              </w:rPr>
              <w:t>T/M ĐẢNG ỦY</w:t>
            </w:r>
          </w:p>
        </w:tc>
      </w:tr>
      <w:tr w:rsidR="008E0EB2" w:rsidTr="00201718">
        <w:tc>
          <w:tcPr>
            <w:tcW w:w="4503" w:type="dxa"/>
          </w:tcPr>
          <w:p w:rsidR="008E0EB2" w:rsidRDefault="008E0EB2" w:rsidP="00201718">
            <w:pPr>
              <w:rPr>
                <w:rFonts w:cs="Times New Roman"/>
                <w:sz w:val="24"/>
                <w:szCs w:val="24"/>
              </w:rPr>
            </w:pPr>
            <w:r w:rsidRPr="001A34A7">
              <w:rPr>
                <w:rFonts w:cs="Times New Roman"/>
                <w:sz w:val="24"/>
                <w:szCs w:val="24"/>
              </w:rPr>
              <w:t>- Văn phòng huyện ủy;</w:t>
            </w:r>
          </w:p>
          <w:p w:rsidR="008E0EB2" w:rsidRDefault="008E0EB2" w:rsidP="00201718">
            <w:pPr>
              <w:rPr>
                <w:rFonts w:cs="Times New Roman"/>
                <w:sz w:val="24"/>
                <w:szCs w:val="24"/>
              </w:rPr>
            </w:pPr>
            <w:r>
              <w:rPr>
                <w:rFonts w:cs="Times New Roman"/>
                <w:sz w:val="24"/>
                <w:szCs w:val="24"/>
              </w:rPr>
              <w:t>- Đảng ủy CA-QS huyện;</w:t>
            </w:r>
          </w:p>
          <w:p w:rsidR="008E0EB2" w:rsidRDefault="008E0EB2" w:rsidP="00201718">
            <w:pPr>
              <w:rPr>
                <w:rFonts w:cs="Times New Roman"/>
                <w:sz w:val="24"/>
                <w:szCs w:val="24"/>
              </w:rPr>
            </w:pPr>
            <w:r>
              <w:rPr>
                <w:rFonts w:cs="Times New Roman"/>
                <w:sz w:val="24"/>
                <w:szCs w:val="24"/>
              </w:rPr>
              <w:t>- Các đồng chí trong Đảng ủy;</w:t>
            </w:r>
          </w:p>
          <w:p w:rsidR="008E0EB2" w:rsidRDefault="008E0EB2" w:rsidP="00201718">
            <w:pPr>
              <w:rPr>
                <w:rFonts w:cs="Times New Roman"/>
                <w:sz w:val="24"/>
                <w:szCs w:val="24"/>
              </w:rPr>
            </w:pPr>
            <w:r>
              <w:rPr>
                <w:rFonts w:cs="Times New Roman"/>
                <w:sz w:val="24"/>
                <w:szCs w:val="24"/>
              </w:rPr>
              <w:t>- Hội CCB xã;</w:t>
            </w:r>
          </w:p>
          <w:p w:rsidR="008E0EB2" w:rsidRDefault="008E0EB2" w:rsidP="00201718">
            <w:pPr>
              <w:rPr>
                <w:rFonts w:cs="Times New Roman"/>
                <w:sz w:val="24"/>
                <w:szCs w:val="24"/>
              </w:rPr>
            </w:pPr>
            <w:r>
              <w:rPr>
                <w:rFonts w:cs="Times New Roman"/>
                <w:sz w:val="24"/>
                <w:szCs w:val="24"/>
              </w:rPr>
              <w:t>- Bí thư các chi bộ trực thuộc;</w:t>
            </w:r>
          </w:p>
          <w:p w:rsidR="008E0EB2" w:rsidRPr="001A34A7" w:rsidRDefault="008E0EB2" w:rsidP="00201718">
            <w:pPr>
              <w:rPr>
                <w:rFonts w:cs="Times New Roman"/>
                <w:sz w:val="24"/>
                <w:szCs w:val="24"/>
              </w:rPr>
            </w:pPr>
            <w:r>
              <w:rPr>
                <w:rFonts w:cs="Times New Roman"/>
                <w:sz w:val="24"/>
                <w:szCs w:val="24"/>
              </w:rPr>
              <w:t>- Lưu VT</w:t>
            </w:r>
          </w:p>
        </w:tc>
        <w:tc>
          <w:tcPr>
            <w:tcW w:w="709" w:type="dxa"/>
          </w:tcPr>
          <w:p w:rsidR="008E0EB2" w:rsidRDefault="008E0EB2" w:rsidP="00201718">
            <w:pPr>
              <w:rPr>
                <w:rFonts w:cs="Times New Roman"/>
                <w:szCs w:val="28"/>
              </w:rPr>
            </w:pPr>
          </w:p>
        </w:tc>
        <w:tc>
          <w:tcPr>
            <w:tcW w:w="3827" w:type="dxa"/>
          </w:tcPr>
          <w:p w:rsidR="008E0EB2" w:rsidRPr="001A34A7" w:rsidRDefault="008E0EB2" w:rsidP="00201718">
            <w:pPr>
              <w:jc w:val="center"/>
              <w:rPr>
                <w:rFonts w:cs="Times New Roman"/>
                <w:b/>
                <w:szCs w:val="28"/>
              </w:rPr>
            </w:pPr>
            <w:r w:rsidRPr="001A34A7">
              <w:rPr>
                <w:rFonts w:cs="Times New Roman"/>
                <w:b/>
                <w:szCs w:val="28"/>
              </w:rPr>
              <w:t>PHÓ BÍ THƯ</w:t>
            </w:r>
          </w:p>
          <w:p w:rsidR="008E0EB2" w:rsidRPr="001A34A7" w:rsidRDefault="00E93E86" w:rsidP="00E93E86">
            <w:pPr>
              <w:jc w:val="center"/>
              <w:rPr>
                <w:rFonts w:cs="Times New Roman"/>
                <w:b/>
                <w:szCs w:val="28"/>
              </w:rPr>
            </w:pPr>
            <w:r>
              <w:rPr>
                <w:rFonts w:cs="Times New Roman"/>
                <w:b/>
                <w:szCs w:val="28"/>
              </w:rPr>
              <w:t>Đã ký</w:t>
            </w:r>
            <w:bookmarkStart w:id="0" w:name="_GoBack"/>
            <w:bookmarkEnd w:id="0"/>
          </w:p>
          <w:p w:rsidR="008E0EB2" w:rsidRPr="001A34A7" w:rsidRDefault="008E0EB2" w:rsidP="00201718">
            <w:pPr>
              <w:jc w:val="center"/>
              <w:rPr>
                <w:rFonts w:cs="Times New Roman"/>
                <w:b/>
                <w:szCs w:val="28"/>
              </w:rPr>
            </w:pPr>
            <w:r w:rsidRPr="001A34A7">
              <w:rPr>
                <w:rFonts w:cs="Times New Roman"/>
                <w:b/>
                <w:szCs w:val="28"/>
              </w:rPr>
              <w:t>Phạm Thanh Diễn</w:t>
            </w:r>
          </w:p>
        </w:tc>
      </w:tr>
    </w:tbl>
    <w:p w:rsidR="00DC6CE0" w:rsidRDefault="00DC6CE0" w:rsidP="000C3CFC">
      <w:pPr>
        <w:spacing w:before="120" w:after="120" w:line="320" w:lineRule="exact"/>
        <w:jc w:val="both"/>
      </w:pPr>
    </w:p>
    <w:sectPr w:rsidR="00DC6CE0" w:rsidSect="004753E9">
      <w:footerReference w:type="default" r:id="rId8"/>
      <w:pgSz w:w="11907" w:h="16839" w:code="9"/>
      <w:pgMar w:top="1418" w:right="1134" w:bottom="1304" w:left="1985"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692F" w:rsidRDefault="0082692F" w:rsidP="005B6FBF">
      <w:pPr>
        <w:spacing w:after="0" w:line="240" w:lineRule="auto"/>
      </w:pPr>
      <w:r>
        <w:separator/>
      </w:r>
    </w:p>
  </w:endnote>
  <w:endnote w:type="continuationSeparator" w:id="0">
    <w:p w:rsidR="0082692F" w:rsidRDefault="0082692F" w:rsidP="005B6F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856006"/>
      <w:docPartObj>
        <w:docPartGallery w:val="Page Numbers (Bottom of Page)"/>
        <w:docPartUnique/>
      </w:docPartObj>
    </w:sdtPr>
    <w:sdtEndPr/>
    <w:sdtContent>
      <w:p w:rsidR="0082692F" w:rsidRDefault="0061253D" w:rsidP="005B6FBF">
        <w:pPr>
          <w:pStyle w:val="Footer"/>
          <w:tabs>
            <w:tab w:val="clear" w:pos="4680"/>
            <w:tab w:val="clear" w:pos="9360"/>
          </w:tabs>
          <w:jc w:val="center"/>
        </w:pPr>
        <w:r>
          <w:fldChar w:fldCharType="begin"/>
        </w:r>
        <w:r>
          <w:instrText xml:space="preserve"> PAGE   \* MERGEFORMAT </w:instrText>
        </w:r>
        <w:r>
          <w:fldChar w:fldCharType="separate"/>
        </w:r>
        <w:r w:rsidR="00E93E86">
          <w:rPr>
            <w:noProof/>
          </w:rPr>
          <w:t>3</w:t>
        </w:r>
        <w:r>
          <w:rPr>
            <w:noProof/>
          </w:rPr>
          <w:fldChar w:fldCharType="end"/>
        </w:r>
      </w:p>
    </w:sdtContent>
  </w:sdt>
  <w:p w:rsidR="0082692F" w:rsidRDefault="008269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692F" w:rsidRDefault="0082692F" w:rsidP="005B6FBF">
      <w:pPr>
        <w:spacing w:after="0" w:line="240" w:lineRule="auto"/>
      </w:pPr>
      <w:r>
        <w:separator/>
      </w:r>
    </w:p>
  </w:footnote>
  <w:footnote w:type="continuationSeparator" w:id="0">
    <w:p w:rsidR="0082692F" w:rsidRDefault="0082692F" w:rsidP="005B6FB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A52F3C"/>
    <w:multiLevelType w:val="hybridMultilevel"/>
    <w:tmpl w:val="D0247544"/>
    <w:lvl w:ilvl="0" w:tplc="477E15EE">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253DD"/>
    <w:rsid w:val="000C3CFC"/>
    <w:rsid w:val="00327A70"/>
    <w:rsid w:val="004753E9"/>
    <w:rsid w:val="004A50A5"/>
    <w:rsid w:val="004E44AF"/>
    <w:rsid w:val="004F7B14"/>
    <w:rsid w:val="00560C9B"/>
    <w:rsid w:val="005B6FBF"/>
    <w:rsid w:val="0061253D"/>
    <w:rsid w:val="00660359"/>
    <w:rsid w:val="00777FDD"/>
    <w:rsid w:val="0082692F"/>
    <w:rsid w:val="008E0EB2"/>
    <w:rsid w:val="008E3D49"/>
    <w:rsid w:val="008F1D7D"/>
    <w:rsid w:val="009010D7"/>
    <w:rsid w:val="00987D71"/>
    <w:rsid w:val="00A011C8"/>
    <w:rsid w:val="00A724C4"/>
    <w:rsid w:val="00CB0D95"/>
    <w:rsid w:val="00D253DD"/>
    <w:rsid w:val="00DC6CE0"/>
    <w:rsid w:val="00E93E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3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253D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D253DD"/>
    <w:pPr>
      <w:ind w:left="720"/>
      <w:contextualSpacing/>
    </w:pPr>
  </w:style>
  <w:style w:type="paragraph" w:styleId="Header">
    <w:name w:val="header"/>
    <w:basedOn w:val="Normal"/>
    <w:link w:val="HeaderChar"/>
    <w:uiPriority w:val="99"/>
    <w:semiHidden/>
    <w:unhideWhenUsed/>
    <w:rsid w:val="005B6FB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B6FBF"/>
  </w:style>
  <w:style w:type="paragraph" w:styleId="Footer">
    <w:name w:val="footer"/>
    <w:basedOn w:val="Normal"/>
    <w:link w:val="FooterChar"/>
    <w:uiPriority w:val="99"/>
    <w:unhideWhenUsed/>
    <w:rsid w:val="005B6F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6F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3</Pages>
  <Words>1153</Words>
  <Characters>6577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TTDT</dc:creator>
  <cp:lastModifiedBy>AutoBVT</cp:lastModifiedBy>
  <cp:revision>17</cp:revision>
  <dcterms:created xsi:type="dcterms:W3CDTF">2017-03-06T17:13:00Z</dcterms:created>
  <dcterms:modified xsi:type="dcterms:W3CDTF">2017-03-16T02:38:00Z</dcterms:modified>
</cp:coreProperties>
</file>