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960"/>
        <w:gridCol w:w="280"/>
        <w:gridCol w:w="5764"/>
      </w:tblGrid>
      <w:tr w:rsidR="002D3346" w:rsidRPr="00693C99" w:rsidTr="00EC2564">
        <w:tc>
          <w:tcPr>
            <w:tcW w:w="3085" w:type="dxa"/>
          </w:tcPr>
          <w:p w:rsidR="002D3346" w:rsidRPr="00F63FC1" w:rsidRDefault="002D3346" w:rsidP="00EC2564">
            <w:pPr>
              <w:spacing w:before="0" w:after="0"/>
              <w:jc w:val="center"/>
              <w:rPr>
                <w:b/>
              </w:rPr>
            </w:pPr>
            <w:r>
              <w:rPr>
                <w:b/>
              </w:rPr>
              <w:t>ỦY BAN NHÂN DÂN</w:t>
            </w:r>
          </w:p>
          <w:p w:rsidR="002D3346" w:rsidRPr="00F63FC1" w:rsidRDefault="002D3346" w:rsidP="00EC2564">
            <w:pPr>
              <w:spacing w:before="0" w:after="0"/>
              <w:jc w:val="center"/>
              <w:rPr>
                <w:b/>
              </w:rPr>
            </w:pPr>
            <w:r w:rsidRPr="00F63FC1">
              <w:rPr>
                <w:b/>
              </w:rPr>
              <w:t>XÃ MỸ THẠNH</w:t>
            </w:r>
          </w:p>
          <w:p w:rsidR="002D3346" w:rsidRPr="00693C99" w:rsidRDefault="007563F2" w:rsidP="00EC2564">
            <w:pPr>
              <w:spacing w:before="0" w:after="0"/>
              <w:jc w:val="center"/>
            </w:pPr>
            <w:r>
              <w:rPr>
                <w:noProof/>
              </w:rPr>
              <w:pict>
                <v:line id="_x0000_s1026" style="position:absolute;left:0;text-align:left;z-index:251657216" from="44.25pt,.7pt" to="98.25pt,.7pt"/>
              </w:pict>
            </w:r>
          </w:p>
        </w:tc>
        <w:tc>
          <w:tcPr>
            <w:tcW w:w="284" w:type="dxa"/>
          </w:tcPr>
          <w:p w:rsidR="002D3346" w:rsidRPr="00693C99" w:rsidRDefault="002D3346" w:rsidP="00EC2564">
            <w:pPr>
              <w:spacing w:before="0" w:after="0"/>
              <w:jc w:val="center"/>
            </w:pPr>
          </w:p>
        </w:tc>
        <w:tc>
          <w:tcPr>
            <w:tcW w:w="6095" w:type="dxa"/>
          </w:tcPr>
          <w:p w:rsidR="002D3346" w:rsidRPr="00642BC1" w:rsidRDefault="002D3346" w:rsidP="00EC2564">
            <w:pPr>
              <w:spacing w:before="0" w:after="0"/>
              <w:jc w:val="center"/>
              <w:rPr>
                <w:b/>
                <w:sz w:val="24"/>
                <w:szCs w:val="24"/>
              </w:rPr>
            </w:pPr>
            <w:r w:rsidRPr="00642BC1">
              <w:rPr>
                <w:b/>
                <w:sz w:val="24"/>
                <w:szCs w:val="24"/>
              </w:rPr>
              <w:t>CỘNG HÒA XÃ HỘI CHỦ NGHĨA VIỆT NAM</w:t>
            </w:r>
          </w:p>
          <w:p w:rsidR="002D3346" w:rsidRPr="003B7F6A" w:rsidRDefault="002D3346" w:rsidP="00EC2564">
            <w:pPr>
              <w:spacing w:before="0" w:after="0"/>
              <w:jc w:val="center"/>
              <w:rPr>
                <w:b/>
                <w:sz w:val="28"/>
                <w:szCs w:val="28"/>
              </w:rPr>
            </w:pPr>
            <w:r w:rsidRPr="003B7F6A">
              <w:rPr>
                <w:b/>
                <w:sz w:val="28"/>
                <w:szCs w:val="28"/>
              </w:rPr>
              <w:t>Độc lập - Tự do - Hạnh phúc</w:t>
            </w:r>
          </w:p>
          <w:p w:rsidR="002D3346" w:rsidRPr="00693C99" w:rsidRDefault="007563F2" w:rsidP="00EC2564">
            <w:pPr>
              <w:spacing w:before="0" w:after="0"/>
              <w:jc w:val="center"/>
            </w:pPr>
            <w:r>
              <w:rPr>
                <w:noProof/>
              </w:rPr>
              <w:pict>
                <v:line id="_x0000_s1027" style="position:absolute;left:0;text-align:left;z-index:251658240" from="58.65pt,1.35pt" to="218.6pt,1.35pt"/>
              </w:pict>
            </w:r>
          </w:p>
        </w:tc>
      </w:tr>
      <w:tr w:rsidR="002D3346" w:rsidRPr="00F63FC1" w:rsidTr="00EC2564">
        <w:tc>
          <w:tcPr>
            <w:tcW w:w="3085" w:type="dxa"/>
          </w:tcPr>
          <w:p w:rsidR="002D3346" w:rsidRPr="00693C99" w:rsidRDefault="002D3346" w:rsidP="00EC2564">
            <w:pPr>
              <w:spacing w:before="0" w:after="0"/>
              <w:jc w:val="center"/>
            </w:pPr>
            <w:r>
              <w:t>Số</w:t>
            </w:r>
            <w:r w:rsidR="003B7F6A">
              <w:t>: 181</w:t>
            </w:r>
            <w:r>
              <w:t>/KH</w:t>
            </w:r>
            <w:r w:rsidRPr="00693C99">
              <w:t>-</w:t>
            </w:r>
            <w:r>
              <w:t>UBND</w:t>
            </w:r>
          </w:p>
        </w:tc>
        <w:tc>
          <w:tcPr>
            <w:tcW w:w="284" w:type="dxa"/>
          </w:tcPr>
          <w:p w:rsidR="002D3346" w:rsidRPr="00693C99" w:rsidRDefault="002D3346" w:rsidP="00EC2564">
            <w:pPr>
              <w:spacing w:before="0" w:after="0"/>
              <w:jc w:val="center"/>
            </w:pPr>
          </w:p>
        </w:tc>
        <w:tc>
          <w:tcPr>
            <w:tcW w:w="6095" w:type="dxa"/>
          </w:tcPr>
          <w:p w:rsidR="002D3346" w:rsidRPr="00F63FC1" w:rsidRDefault="002D3346" w:rsidP="003B7F6A">
            <w:pPr>
              <w:spacing w:before="0" w:after="0"/>
              <w:jc w:val="center"/>
              <w:rPr>
                <w:i/>
              </w:rPr>
            </w:pPr>
            <w:r w:rsidRPr="00F63FC1">
              <w:rPr>
                <w:i/>
              </w:rPr>
              <w:t>Mỹ Thạ</w:t>
            </w:r>
            <w:r w:rsidR="003B7F6A">
              <w:rPr>
                <w:i/>
              </w:rPr>
              <w:t>nh, ngày 01</w:t>
            </w:r>
            <w:r w:rsidRPr="00F63FC1">
              <w:rPr>
                <w:i/>
              </w:rPr>
              <w:t xml:space="preserve"> thán</w:t>
            </w:r>
            <w:r w:rsidR="003B7F6A">
              <w:rPr>
                <w:i/>
              </w:rPr>
              <w:t xml:space="preserve">    4</w:t>
            </w:r>
            <w:r w:rsidRPr="00F63FC1">
              <w:rPr>
                <w:i/>
              </w:rPr>
              <w:t xml:space="preserve">  năm 201</w:t>
            </w:r>
            <w:r>
              <w:rPr>
                <w:i/>
              </w:rPr>
              <w:t>6</w:t>
            </w:r>
          </w:p>
        </w:tc>
      </w:tr>
    </w:tbl>
    <w:p w:rsidR="007A58A8" w:rsidRDefault="00B92F74" w:rsidP="00B92F74">
      <w:pPr>
        <w:jc w:val="center"/>
        <w:rPr>
          <w:b/>
          <w:sz w:val="28"/>
          <w:szCs w:val="28"/>
        </w:rPr>
      </w:pPr>
      <w:r>
        <w:rPr>
          <w:b/>
          <w:sz w:val="28"/>
          <w:szCs w:val="28"/>
        </w:rPr>
        <w:t>KẾ HOẠCH</w:t>
      </w:r>
    </w:p>
    <w:p w:rsidR="00B92F74" w:rsidRDefault="00B92F74" w:rsidP="00B92F74">
      <w:pPr>
        <w:jc w:val="center"/>
        <w:rPr>
          <w:b/>
          <w:sz w:val="28"/>
          <w:szCs w:val="28"/>
        </w:rPr>
      </w:pPr>
      <w:r>
        <w:rPr>
          <w:b/>
          <w:sz w:val="28"/>
          <w:szCs w:val="28"/>
        </w:rPr>
        <w:t>Công tác phòng, chống tham nhũng năm 2016</w:t>
      </w:r>
    </w:p>
    <w:p w:rsidR="00B92F74" w:rsidRDefault="007563F2" w:rsidP="00B92F74">
      <w:pPr>
        <w:jc w:val="center"/>
        <w:rPr>
          <w:b/>
          <w:sz w:val="28"/>
          <w:szCs w:val="28"/>
        </w:rPr>
      </w:pPr>
      <w:r w:rsidRPr="007563F2">
        <w:rPr>
          <w:b/>
          <w:noProof/>
          <w:sz w:val="24"/>
          <w:szCs w:val="24"/>
        </w:rPr>
        <w:pict>
          <v:line id="_x0000_s1028" style="position:absolute;left:0;text-align:left;z-index:251659264" from="165.15pt,1pt" to="269pt,1pt"/>
        </w:pict>
      </w:r>
    </w:p>
    <w:p w:rsidR="00B92F74" w:rsidRDefault="00B92F74" w:rsidP="00F84A46">
      <w:pPr>
        <w:jc w:val="both"/>
        <w:rPr>
          <w:sz w:val="28"/>
          <w:szCs w:val="28"/>
        </w:rPr>
      </w:pPr>
      <w:r>
        <w:rPr>
          <w:sz w:val="28"/>
          <w:szCs w:val="28"/>
        </w:rPr>
        <w:tab/>
        <w:t>Thực hiện Kế hoạch số 386/KH-UBND ngày 17 tháng 02 năm 2016 của Ủy ban nhân dân huyện Giồng Trôm về phòng, chống tham nhũng năm 2016, Ủy ban nhân dân xã Mỹ Thạnh xây dựng kế hoạch phòng, chống tham nhũng năm 2016 với những nội dung cụ thể như sau:</w:t>
      </w:r>
    </w:p>
    <w:p w:rsidR="00B92F74" w:rsidRPr="00B92F74" w:rsidRDefault="00B92F74" w:rsidP="00F84A46">
      <w:pPr>
        <w:jc w:val="both"/>
        <w:rPr>
          <w:b/>
          <w:sz w:val="28"/>
          <w:szCs w:val="28"/>
        </w:rPr>
      </w:pPr>
      <w:r w:rsidRPr="00B92F74">
        <w:rPr>
          <w:b/>
          <w:sz w:val="28"/>
          <w:szCs w:val="28"/>
        </w:rPr>
        <w:tab/>
        <w:t>I</w:t>
      </w:r>
      <w:r>
        <w:rPr>
          <w:b/>
          <w:sz w:val="28"/>
          <w:szCs w:val="28"/>
        </w:rPr>
        <w:t xml:space="preserve">. </w:t>
      </w:r>
      <w:r w:rsidRPr="00B92F74">
        <w:rPr>
          <w:b/>
          <w:sz w:val="28"/>
          <w:szCs w:val="28"/>
        </w:rPr>
        <w:t>MỤC ĐÍCH, YÊU CẦU</w:t>
      </w:r>
    </w:p>
    <w:p w:rsidR="00B92F74" w:rsidRDefault="00B92F74" w:rsidP="00F84A46">
      <w:pPr>
        <w:jc w:val="both"/>
        <w:rPr>
          <w:sz w:val="28"/>
          <w:szCs w:val="28"/>
        </w:rPr>
      </w:pPr>
      <w:r>
        <w:tab/>
      </w:r>
      <w:r>
        <w:rPr>
          <w:sz w:val="28"/>
          <w:szCs w:val="28"/>
        </w:rPr>
        <w:t xml:space="preserve">Tiếp tục phát huy những kết quả đạt được về công tác phòng, chống tham nhũng của </w:t>
      </w:r>
      <w:r w:rsidR="00321FAF">
        <w:rPr>
          <w:sz w:val="28"/>
          <w:szCs w:val="28"/>
        </w:rPr>
        <w:t>Ủy ban nhân dân xã trong thời gian qua</w:t>
      </w:r>
      <w:r>
        <w:rPr>
          <w:sz w:val="28"/>
          <w:szCs w:val="28"/>
        </w:rPr>
        <w:t xml:space="preserve"> nhằm quán triệt và chỉ đạo thực hiện tốt công tác phòng, chống tham nhũng năm 2016 trên địa bàn xã có trọng tâm, trọng điểm, đạt yêu cầu đề ra và tạo bước chuyển biến hơn về nhận thức và hành động trong cán bộ, công chức, </w:t>
      </w:r>
      <w:r w:rsidR="00321FAF">
        <w:rPr>
          <w:sz w:val="28"/>
          <w:szCs w:val="28"/>
        </w:rPr>
        <w:t>người hoạt động không chuyên trách</w:t>
      </w:r>
      <w:r>
        <w:rPr>
          <w:sz w:val="28"/>
          <w:szCs w:val="28"/>
        </w:rPr>
        <w:t xml:space="preserve"> và nhân dân về công tác phòng, chống tham nhũng trên địa bàn xã trong thời gian tới.</w:t>
      </w:r>
    </w:p>
    <w:p w:rsidR="00B92F74" w:rsidRDefault="00B92F74" w:rsidP="00F84A46">
      <w:pPr>
        <w:jc w:val="both"/>
        <w:rPr>
          <w:sz w:val="28"/>
          <w:szCs w:val="28"/>
        </w:rPr>
      </w:pPr>
      <w:r>
        <w:rPr>
          <w:sz w:val="28"/>
          <w:szCs w:val="28"/>
        </w:rPr>
        <w:tab/>
        <w:t>Nêu cao trách nhiệm của người đứng đầu cơ quan</w:t>
      </w:r>
      <w:r w:rsidR="00CF758D">
        <w:rPr>
          <w:sz w:val="28"/>
          <w:szCs w:val="28"/>
        </w:rPr>
        <w:t>, các ban, ngành, đoàn thể</w:t>
      </w:r>
      <w:r>
        <w:rPr>
          <w:sz w:val="28"/>
          <w:szCs w:val="28"/>
        </w:rPr>
        <w:t xml:space="preserve"> và xã hội góp phần nâng cao hiệu quả quản lý</w:t>
      </w:r>
      <w:r w:rsidR="009C4E6C">
        <w:rPr>
          <w:sz w:val="28"/>
          <w:szCs w:val="28"/>
        </w:rPr>
        <w:t>, sử dụng các nguồn nhân lực</w:t>
      </w:r>
      <w:r w:rsidR="00F84A46">
        <w:rPr>
          <w:sz w:val="28"/>
          <w:szCs w:val="28"/>
        </w:rPr>
        <w:t xml:space="preserve"> nhằm thúc đẩy kinh tế-xã hội phát triển. Đây còn là nhiệm vụ quan trọng của công tác xây dựng chính quyền trong sạch, vững mạnh; là thước đo về niềm tin của nhân dân đối với chính quyền các cấp.</w:t>
      </w:r>
    </w:p>
    <w:p w:rsidR="00F84A46" w:rsidRDefault="00F84A46" w:rsidP="00F84A46">
      <w:pPr>
        <w:jc w:val="both"/>
        <w:rPr>
          <w:sz w:val="28"/>
          <w:szCs w:val="28"/>
        </w:rPr>
      </w:pPr>
      <w:r>
        <w:rPr>
          <w:sz w:val="28"/>
          <w:szCs w:val="28"/>
        </w:rPr>
        <w:tab/>
        <w:t>Triển khai đồng bộ các giải pháp phòng ngừa, phát hiện và xử lý tham nhũng. Chú trọng vào các ngành, lĩnh vực dễ phát sinh tiêu cực, tham nhũng để phòng ngừa có hiệu quả.</w:t>
      </w:r>
    </w:p>
    <w:p w:rsidR="00F84A46" w:rsidRDefault="00F84A46" w:rsidP="00F84A46">
      <w:pPr>
        <w:jc w:val="both"/>
        <w:rPr>
          <w:b/>
          <w:sz w:val="28"/>
          <w:szCs w:val="28"/>
        </w:rPr>
      </w:pPr>
      <w:r>
        <w:rPr>
          <w:sz w:val="28"/>
          <w:szCs w:val="28"/>
        </w:rPr>
        <w:tab/>
      </w:r>
      <w:r>
        <w:rPr>
          <w:b/>
          <w:sz w:val="28"/>
          <w:szCs w:val="28"/>
        </w:rPr>
        <w:t>II. NỘI DUNG CÔNG TÁC PHÒNG, CHỐNG THAM NHŨNG NĂM 2016</w:t>
      </w:r>
    </w:p>
    <w:p w:rsidR="00F84A46" w:rsidRPr="0005442A" w:rsidRDefault="0005442A" w:rsidP="0005442A">
      <w:pPr>
        <w:jc w:val="both"/>
        <w:rPr>
          <w:b/>
          <w:sz w:val="28"/>
          <w:szCs w:val="28"/>
        </w:rPr>
      </w:pPr>
      <w:r w:rsidRPr="0005442A">
        <w:rPr>
          <w:b/>
          <w:sz w:val="28"/>
          <w:szCs w:val="28"/>
        </w:rPr>
        <w:tab/>
        <w:t>1</w:t>
      </w:r>
      <w:r>
        <w:rPr>
          <w:b/>
          <w:sz w:val="28"/>
          <w:szCs w:val="28"/>
        </w:rPr>
        <w:t xml:space="preserve">. </w:t>
      </w:r>
      <w:r w:rsidRPr="0005442A">
        <w:rPr>
          <w:b/>
          <w:sz w:val="28"/>
          <w:szCs w:val="28"/>
        </w:rPr>
        <w:t>Tiếp tục tăng cường công tác tuyên truyền, phổ biến giáo dục pháp luật về phòng, chống tham nhũng, lãng phí nhằm nâng cao nhận thức và ý thức trách nhiệm của cán bộ, công chức, viên chức và nhân dân về công tác phòng, chống tham nhũng</w:t>
      </w:r>
    </w:p>
    <w:p w:rsidR="0005442A" w:rsidRDefault="0005442A" w:rsidP="005D4DD5">
      <w:pPr>
        <w:jc w:val="both"/>
        <w:rPr>
          <w:sz w:val="28"/>
          <w:szCs w:val="28"/>
        </w:rPr>
      </w:pPr>
      <w:r>
        <w:tab/>
      </w:r>
      <w:r>
        <w:rPr>
          <w:sz w:val="28"/>
          <w:szCs w:val="28"/>
        </w:rPr>
        <w:t>Tuyên truyền, phổ biến các chủ trương, chính sách của Đảng và pháp luật của Nhà nước</w:t>
      </w:r>
      <w:r w:rsidR="009C30B5">
        <w:rPr>
          <w:sz w:val="28"/>
          <w:szCs w:val="28"/>
        </w:rPr>
        <w:t xml:space="preserve"> về phòng, chống tham nhũng như: Luật phòng, chống tham nhũng và các văn bản pháp luật có liên quan; Công ước Liên hợp quốc về chống tham nhũng; chương trình hành động thực hiện Kết luận số 21-KL/TW ngày 25 tháng 5 năm 2012 của Ban chấp hành Trung ương Đảng (khóa XI) về tăng cường sự lãnh đạo của Đảng đối với công tác phòng, chống tham nhũng, </w:t>
      </w:r>
      <w:r w:rsidR="009C30B5">
        <w:rPr>
          <w:sz w:val="28"/>
          <w:szCs w:val="28"/>
        </w:rPr>
        <w:lastRenderedPageBreak/>
        <w:t>thực hành tiết kiệm, chống lãng phí; Chỉ thị số 50-CT/TW ngày 07 tháng 12 năm 2015 của Bộ Chính trị về tăng cường sự lãnh đạo của Đảng đối với công tác phát hiện, xử lý vụ việc, vụ án tham nhũng…, tuyên truyền</w:t>
      </w:r>
      <w:r w:rsidR="00A62CF4">
        <w:rPr>
          <w:sz w:val="28"/>
          <w:szCs w:val="28"/>
        </w:rPr>
        <w:t xml:space="preserve"> sâu rộng trong nội bộ và ngoài nhân dân để nâng cao ý thức và tạo sự đồng thuận của xã hội trong công tác phòng, chống tham nhũng, chống lãng phí.</w:t>
      </w:r>
    </w:p>
    <w:p w:rsidR="00A62CF4" w:rsidRDefault="00A62CF4" w:rsidP="005D4DD5">
      <w:pPr>
        <w:jc w:val="both"/>
        <w:rPr>
          <w:sz w:val="28"/>
          <w:szCs w:val="28"/>
        </w:rPr>
      </w:pPr>
      <w:r>
        <w:rPr>
          <w:sz w:val="28"/>
          <w:szCs w:val="28"/>
        </w:rPr>
        <w:tab/>
        <w:t>Việc tuyên truyền, phổ biến, giáo dục pháp luật về phòng, chống tham nhũng thực hiện gắn liền với học tập và làm theo tấm gương đạo đức Hồ Chí Minh.</w:t>
      </w:r>
    </w:p>
    <w:p w:rsidR="00A62CF4" w:rsidRDefault="00A62CF4" w:rsidP="005D4DD5">
      <w:pPr>
        <w:jc w:val="both"/>
        <w:rPr>
          <w:b/>
          <w:sz w:val="28"/>
          <w:szCs w:val="28"/>
        </w:rPr>
      </w:pPr>
      <w:r>
        <w:rPr>
          <w:sz w:val="28"/>
          <w:szCs w:val="28"/>
        </w:rPr>
        <w:tab/>
      </w:r>
      <w:r>
        <w:rPr>
          <w:b/>
          <w:sz w:val="28"/>
          <w:szCs w:val="28"/>
        </w:rPr>
        <w:t>2. Tiếp tực thực hiện và hoàn thiện</w:t>
      </w:r>
      <w:r w:rsidR="00F51ADA">
        <w:rPr>
          <w:b/>
          <w:sz w:val="28"/>
          <w:szCs w:val="28"/>
        </w:rPr>
        <w:t xml:space="preserve"> các thể chế về quản lý kinh tế - xã hội để phòng, chống tham nhũng, lãng phí</w:t>
      </w:r>
    </w:p>
    <w:p w:rsidR="00F51ADA" w:rsidRDefault="00F51ADA" w:rsidP="005D4DD5">
      <w:pPr>
        <w:jc w:val="both"/>
        <w:rPr>
          <w:sz w:val="28"/>
          <w:szCs w:val="28"/>
        </w:rPr>
      </w:pPr>
      <w:r>
        <w:rPr>
          <w:b/>
          <w:sz w:val="28"/>
          <w:szCs w:val="28"/>
        </w:rPr>
        <w:tab/>
      </w:r>
      <w:r>
        <w:rPr>
          <w:sz w:val="28"/>
          <w:szCs w:val="28"/>
        </w:rPr>
        <w:t xml:space="preserve">Căn cứ vào chức năng, nhiệm vụ được giao thực hiện các nội dung trong kế hoạch cải cách hành chính; tập trung công tác xây dựng thể chế trong các lĩnh vực: đầu tư công; cải cách thủ tục hành chính; cải cách tổ chức bộ máy; xây dựng và nâng cao đội ngũ cán bộ, công chức, </w:t>
      </w:r>
      <w:r w:rsidR="0044751C">
        <w:rPr>
          <w:sz w:val="28"/>
          <w:szCs w:val="28"/>
        </w:rPr>
        <w:t>người hoạt động không chuyên trách</w:t>
      </w:r>
      <w:r>
        <w:rPr>
          <w:sz w:val="28"/>
          <w:szCs w:val="28"/>
        </w:rPr>
        <w:t xml:space="preserve"> và cải cách chế độ công vụ; cải cách tài chính công, hiện đại hóa nền hành chính; áp dụng công nghê thông tin trong công tác hành chính nhà nước.</w:t>
      </w:r>
    </w:p>
    <w:p w:rsidR="00F51ADA" w:rsidRDefault="00F51ADA" w:rsidP="005D4DD5">
      <w:pPr>
        <w:jc w:val="both"/>
        <w:rPr>
          <w:sz w:val="28"/>
          <w:szCs w:val="28"/>
        </w:rPr>
      </w:pPr>
      <w:r>
        <w:rPr>
          <w:sz w:val="28"/>
          <w:szCs w:val="28"/>
        </w:rPr>
        <w:tab/>
        <w:t>Tiếp tục triển khai thực hiện việc đẩy mạnh cải cách chế độ công vụ tại cơ quan, đơn vị.</w:t>
      </w:r>
    </w:p>
    <w:p w:rsidR="00F51ADA" w:rsidRDefault="00F51ADA" w:rsidP="005D4DD5">
      <w:pPr>
        <w:jc w:val="both"/>
        <w:rPr>
          <w:b/>
          <w:sz w:val="28"/>
          <w:szCs w:val="28"/>
        </w:rPr>
      </w:pPr>
      <w:r>
        <w:rPr>
          <w:sz w:val="28"/>
          <w:szCs w:val="28"/>
        </w:rPr>
        <w:tab/>
      </w:r>
      <w:r>
        <w:rPr>
          <w:b/>
          <w:sz w:val="28"/>
          <w:szCs w:val="28"/>
        </w:rPr>
        <w:t>3. Đẩy mạnh việc thực hiện các biện pháp phòng ngừa tham nhũng</w:t>
      </w:r>
    </w:p>
    <w:p w:rsidR="00F51ADA" w:rsidRDefault="00F51ADA" w:rsidP="005D4DD5">
      <w:pPr>
        <w:jc w:val="both"/>
        <w:rPr>
          <w:sz w:val="28"/>
          <w:szCs w:val="28"/>
        </w:rPr>
      </w:pPr>
      <w:r>
        <w:rPr>
          <w:sz w:val="28"/>
          <w:szCs w:val="28"/>
        </w:rPr>
        <w:tab/>
        <w:t>Triển khai thực hiện tốt Chỉ thị số 07/CT-TTg ngày 19 tháng 03 năm 2014 của Thủ tướng Chính phủ về việc đẩy mạnh phòng, chống tiêu cực trong công tác quản lý công chức, viên chức và thi đua khen thưởng; tiếp tục</w:t>
      </w:r>
      <w:r w:rsidR="002B4A45">
        <w:rPr>
          <w:sz w:val="28"/>
          <w:szCs w:val="28"/>
        </w:rPr>
        <w:t xml:space="preserve"> phối hợp</w:t>
      </w:r>
      <w:r>
        <w:rPr>
          <w:sz w:val="28"/>
          <w:szCs w:val="28"/>
        </w:rPr>
        <w:t xml:space="preserve"> thực hiện nghiêm túc, đúng quy trình việc chuyển đổi vị trí công tác</w:t>
      </w:r>
      <w:r w:rsidR="005D4DD5">
        <w:rPr>
          <w:sz w:val="28"/>
          <w:szCs w:val="28"/>
        </w:rPr>
        <w:t xml:space="preserve"> của công chứ</w:t>
      </w:r>
      <w:r w:rsidR="002B4A45">
        <w:rPr>
          <w:sz w:val="28"/>
          <w:szCs w:val="28"/>
        </w:rPr>
        <w:t>c</w:t>
      </w:r>
      <w:r w:rsidR="005D4DD5">
        <w:rPr>
          <w:sz w:val="28"/>
          <w:szCs w:val="28"/>
        </w:rPr>
        <w:t xml:space="preserve"> theo Nghị định số 158/2007/NĐ-CP ngày 27 tháng 10 năm 2007 của Chính phủ quy định danh mục các vị trí công tác và thời hạn định kỳ chuyển đổi vị trí công tác đối với cán bộ, công chức, viên chức; Nghị định 150/2013/NĐ-CP ngày 01 tháng 11 năm 2013 của Chính phủ về sữa đổi, bổ</w:t>
      </w:r>
      <w:r w:rsidR="00F66B0D">
        <w:rPr>
          <w:sz w:val="28"/>
          <w:szCs w:val="28"/>
        </w:rPr>
        <w:t xml:space="preserve"> sung một</w:t>
      </w:r>
      <w:r w:rsidR="005D4DD5">
        <w:rPr>
          <w:sz w:val="28"/>
          <w:szCs w:val="28"/>
        </w:rPr>
        <w:t xml:space="preserve"> số đ</w:t>
      </w:r>
      <w:r w:rsidR="00F66B0D">
        <w:rPr>
          <w:sz w:val="28"/>
          <w:szCs w:val="28"/>
        </w:rPr>
        <w:t>i</w:t>
      </w:r>
      <w:r w:rsidR="005D4DD5">
        <w:rPr>
          <w:sz w:val="28"/>
          <w:szCs w:val="28"/>
        </w:rPr>
        <w:t xml:space="preserve">ều của Nghị định 158/2007/NĐ-CP; tổ chức thực hiện đúng quy trình, quy định về kê khai tài sản thu nhập, xác minh tài sản, kết luận về sự minh bạch trong kê khai tài sản, công khai kết luận về sự minh bạch trong kê khai tài sản theo quy định của Luật Phòng, chống tham nhũng, Nghị định số 78/2013/NĐ-CP ngày 17 tháng 7 năm 2013 của Chính phủ về minh bạch tài sản thu nhập; Thông tư số 08/2013/TT-TTCP ngày 31 tháng 10 năm 2013 của Thanh tra Chính phủ về việc hướng dẫn thi hành các quy định về minh bạch tài sản, thu nhập; Công văn số 1908-CV/TU ngày 21 tháng 02 năm 2014 của Tỉnh ủy về việc thực hiện Chỉ thị 33-CT/TW của Bộ chính trị về tăng cường sự </w:t>
      </w:r>
      <w:r w:rsidR="00F66B0D">
        <w:rPr>
          <w:sz w:val="28"/>
          <w:szCs w:val="28"/>
        </w:rPr>
        <w:t>lãnh</w:t>
      </w:r>
      <w:r w:rsidR="005D4DD5">
        <w:rPr>
          <w:sz w:val="28"/>
          <w:szCs w:val="28"/>
        </w:rPr>
        <w:t xml:space="preserve"> đạo của Đảng đối với kê khai và kiểm soát việc kê khai tài sản; Kế hoạch số 91-KH/HU ngày 06 tháng 09 năm 2014 của Huyện ủy về thực hiện Chỉ thị 33-CT/TW ngày 01 tháng 01 năm 2014 của Bộ chính trị</w:t>
      </w:r>
      <w:r w:rsidR="008778B3">
        <w:rPr>
          <w:sz w:val="28"/>
          <w:szCs w:val="28"/>
        </w:rPr>
        <w:t>.</w:t>
      </w:r>
    </w:p>
    <w:p w:rsidR="005D4DD5" w:rsidRDefault="005D4DD5" w:rsidP="005D4DD5">
      <w:pPr>
        <w:jc w:val="both"/>
        <w:rPr>
          <w:sz w:val="28"/>
          <w:szCs w:val="28"/>
        </w:rPr>
      </w:pPr>
      <w:r>
        <w:rPr>
          <w:sz w:val="28"/>
          <w:szCs w:val="28"/>
        </w:rPr>
        <w:lastRenderedPageBreak/>
        <w:tab/>
      </w:r>
      <w:r w:rsidR="008778B3">
        <w:rPr>
          <w:sz w:val="28"/>
          <w:szCs w:val="28"/>
        </w:rPr>
        <w:t>Nâng cao tính minh bạch trong hoạt động hiện tốt Quy chế dân chủ cơ sở</w:t>
      </w:r>
      <w:r w:rsidR="00A12867">
        <w:rPr>
          <w:sz w:val="28"/>
          <w:szCs w:val="28"/>
        </w:rPr>
        <w:t xml:space="preserve"> trong cơ quan hành chính Nhà nước</w:t>
      </w:r>
      <w:r w:rsidR="008778B3">
        <w:rPr>
          <w:sz w:val="28"/>
          <w:szCs w:val="28"/>
        </w:rPr>
        <w:t>, đặc biệt là công khai minh bạch về các chính sách về an sinh xã hội, các chính sách ưu đãi,</w:t>
      </w:r>
      <w:r w:rsidR="00A12867">
        <w:rPr>
          <w:sz w:val="28"/>
          <w:szCs w:val="28"/>
        </w:rPr>
        <w:t xml:space="preserve"> các khoản huy động đóng góp trong nhân dân, các chế độ định mức chi theo quy định của Nhà nước.</w:t>
      </w:r>
    </w:p>
    <w:p w:rsidR="008778B3" w:rsidRDefault="008778B3" w:rsidP="005D4DD5">
      <w:pPr>
        <w:jc w:val="both"/>
        <w:rPr>
          <w:sz w:val="28"/>
          <w:szCs w:val="28"/>
        </w:rPr>
      </w:pPr>
      <w:r>
        <w:rPr>
          <w:sz w:val="28"/>
          <w:szCs w:val="28"/>
        </w:rPr>
        <w:tab/>
        <w:t>Tiếp tục thực hiện nghiêm túc việc xây dựng và thực hiện các định mức, tiêu chuẩn; thực hiện có hiệu quả Chỉ thị số 14/CT-TTg ngày 28 tháng 06 năm 2013 của Thủ tướ</w:t>
      </w:r>
      <w:r w:rsidR="00F66B0D">
        <w:rPr>
          <w:sz w:val="28"/>
          <w:szCs w:val="28"/>
        </w:rPr>
        <w:t>ng Ch</w:t>
      </w:r>
      <w:r>
        <w:rPr>
          <w:sz w:val="28"/>
          <w:szCs w:val="28"/>
        </w:rPr>
        <w:t>ính phủ về tăng cường quản lý đầu tư và xử lý nợ đọng xây dựng cơ bản từ nguồn ngân sách nhà nước, trái phiếu Chính phủ và quyết toán vốn đầu tư xây dựng cơ bản.</w:t>
      </w:r>
    </w:p>
    <w:p w:rsidR="008778B3" w:rsidRDefault="008778B3" w:rsidP="005D4DD5">
      <w:pPr>
        <w:jc w:val="both"/>
        <w:rPr>
          <w:b/>
          <w:sz w:val="28"/>
          <w:szCs w:val="28"/>
        </w:rPr>
      </w:pPr>
      <w:r>
        <w:rPr>
          <w:sz w:val="28"/>
          <w:szCs w:val="28"/>
        </w:rPr>
        <w:tab/>
      </w:r>
      <w:r>
        <w:rPr>
          <w:b/>
          <w:sz w:val="28"/>
          <w:szCs w:val="28"/>
        </w:rPr>
        <w:t>4. Tăng cường kỹ cương, kỹ luật</w:t>
      </w:r>
      <w:r w:rsidR="007E3531">
        <w:rPr>
          <w:b/>
          <w:sz w:val="28"/>
          <w:szCs w:val="28"/>
        </w:rPr>
        <w:t xml:space="preserve"> đối với cán bộ, công chức, người hoạt động không chuyên trách</w:t>
      </w:r>
      <w:r w:rsidR="00033439">
        <w:rPr>
          <w:b/>
          <w:sz w:val="28"/>
          <w:szCs w:val="28"/>
        </w:rPr>
        <w:t>; thường xuyên kiểm tra, giám sát, nhắc nhỡ</w:t>
      </w:r>
      <w:r w:rsidR="00F66B0D">
        <w:rPr>
          <w:b/>
          <w:sz w:val="28"/>
          <w:szCs w:val="28"/>
        </w:rPr>
        <w:t>, ngăn</w:t>
      </w:r>
      <w:r w:rsidR="00033439">
        <w:rPr>
          <w:b/>
          <w:sz w:val="28"/>
          <w:szCs w:val="28"/>
        </w:rPr>
        <w:t xml:space="preserve"> ngừa và phát hiện vi phạm để xử lý kịp thời</w:t>
      </w:r>
    </w:p>
    <w:p w:rsidR="00033439" w:rsidRDefault="00033439" w:rsidP="005D4DD5">
      <w:pPr>
        <w:jc w:val="both"/>
        <w:rPr>
          <w:sz w:val="28"/>
          <w:szCs w:val="28"/>
        </w:rPr>
      </w:pPr>
      <w:r>
        <w:rPr>
          <w:b/>
          <w:sz w:val="28"/>
          <w:szCs w:val="28"/>
        </w:rPr>
        <w:tab/>
      </w:r>
      <w:r>
        <w:rPr>
          <w:sz w:val="28"/>
          <w:szCs w:val="28"/>
        </w:rPr>
        <w:t>Tiếp tục chỉ đạo tập trung thực tốt Công văn 1377-CV/TU của Tỉnh ủy về chủ trương không dùng rượu, bia trong buổi trưa các ngày làm việc</w:t>
      </w:r>
      <w:r w:rsidR="007E3531">
        <w:rPr>
          <w:sz w:val="28"/>
          <w:szCs w:val="28"/>
        </w:rPr>
        <w:t xml:space="preserve"> đối với cán bộ, công chức</w:t>
      </w:r>
      <w:r>
        <w:rPr>
          <w:sz w:val="28"/>
          <w:szCs w:val="28"/>
        </w:rPr>
        <w:t>.</w:t>
      </w:r>
    </w:p>
    <w:p w:rsidR="00033439" w:rsidRDefault="00033439" w:rsidP="005D4DD5">
      <w:pPr>
        <w:jc w:val="both"/>
        <w:rPr>
          <w:sz w:val="28"/>
          <w:szCs w:val="28"/>
        </w:rPr>
      </w:pPr>
      <w:r>
        <w:rPr>
          <w:sz w:val="28"/>
          <w:szCs w:val="28"/>
        </w:rPr>
        <w:tab/>
        <w:t>Thực hiện việc tự kiểm tra nội bộ cơ quan, đơn vị theo quy định tại Nghị định số 59/2013/NĐ-CP và thực hiện quyền hạn, nhiệm vụ theo Nghị định số 90/2013/NĐ-CP ngày 08 tháng 8 năm 2013 của Chính phủ về quy định trách nhiệm giải trình cảu cơ quan nhà nước trong việc thực hiện nhiệm vụ, quyền hạn được giao, Thông tư số 02/2014/TT-TTCP ngày 29 tháng 4 năm 2014 của Thanh tra Chính phủ</w:t>
      </w:r>
      <w:r w:rsidR="00F66B0D">
        <w:rPr>
          <w:sz w:val="28"/>
          <w:szCs w:val="28"/>
        </w:rPr>
        <w:t xml:space="preserve"> quy định chi tiết, hướng dẫn thi hành một số điều của Nghị định số 90/2013/NĐ-CP.</w:t>
      </w:r>
    </w:p>
    <w:p w:rsidR="00F66B0D" w:rsidRDefault="00F66B0D" w:rsidP="005D4DD5">
      <w:pPr>
        <w:jc w:val="both"/>
        <w:rPr>
          <w:sz w:val="28"/>
          <w:szCs w:val="28"/>
        </w:rPr>
      </w:pPr>
      <w:r>
        <w:rPr>
          <w:sz w:val="28"/>
          <w:szCs w:val="28"/>
        </w:rPr>
        <w:tab/>
        <w:t>Chịu trách nhiệm khi để xảy ra tham nhũng trong cơ quan, đơn vị, tổ chức do mình quản lý, phụ trách theo quy định tại Nghị định số 107/2006/NĐ-CP ngày 22 tháng 9 năm 2006 của Chính phủ và Nghị định số 211/2013/NĐ-CP ngày 19 tháng 12 năm 2013 của Chính phủ sửa đổi, bổ sung một số điều của Nghị định 107/2006/NĐ-CP.</w:t>
      </w:r>
    </w:p>
    <w:p w:rsidR="00F66B0D" w:rsidRDefault="005E67D0" w:rsidP="005D4DD5">
      <w:pPr>
        <w:jc w:val="both"/>
        <w:rPr>
          <w:sz w:val="28"/>
          <w:szCs w:val="28"/>
        </w:rPr>
      </w:pPr>
      <w:r>
        <w:rPr>
          <w:sz w:val="28"/>
          <w:szCs w:val="28"/>
        </w:rPr>
        <w:tab/>
        <w:t>Chủ tịch UBND xã tiến hành thiết lập và công bố số điện thoại (</w:t>
      </w:r>
      <w:r>
        <w:rPr>
          <w:i/>
          <w:sz w:val="28"/>
          <w:szCs w:val="28"/>
        </w:rPr>
        <w:t>đường dây nóng</w:t>
      </w:r>
      <w:r>
        <w:rPr>
          <w:sz w:val="28"/>
          <w:szCs w:val="28"/>
        </w:rPr>
        <w:t>) để tiếp nhận, xử lý, giải quyết, trả lời đầy đủ, kịp thời các thông tin, tố cáo, phản ánh về hành vi tham nhũng theo đúng quy định của Luật Phòng, chống tham nhũng và các quy định của pháp luật có liên quan. Tập trung giải quyết những kiến nghị, tố cá vè tham nhũng theo đúng quy định của pháp luật; tăng cường mối quan hệ phối hợp giữa các cơ quan có thẩm quyền trong phòng, chống tham nhũng.</w:t>
      </w:r>
    </w:p>
    <w:p w:rsidR="005E67D0" w:rsidRDefault="005E67D0" w:rsidP="005D4DD5">
      <w:pPr>
        <w:jc w:val="both"/>
        <w:rPr>
          <w:sz w:val="28"/>
          <w:szCs w:val="28"/>
        </w:rPr>
      </w:pPr>
      <w:r>
        <w:rPr>
          <w:sz w:val="28"/>
          <w:szCs w:val="28"/>
        </w:rPr>
        <w:tab/>
        <w:t>Đề nghị các ban, ngành, đoàn thể kịp thời xử lý và báo cáo về trên các hành vi tham nhũng trong nội bộ mà ngành mình quản lý theo đúng uy định của pháp luật.</w:t>
      </w:r>
    </w:p>
    <w:p w:rsidR="005E67D0" w:rsidRDefault="005E67D0" w:rsidP="005D4DD5">
      <w:pPr>
        <w:jc w:val="both"/>
        <w:rPr>
          <w:b/>
          <w:sz w:val="28"/>
          <w:szCs w:val="28"/>
        </w:rPr>
      </w:pPr>
      <w:r>
        <w:rPr>
          <w:sz w:val="28"/>
          <w:szCs w:val="28"/>
        </w:rPr>
        <w:tab/>
      </w:r>
      <w:r>
        <w:rPr>
          <w:b/>
          <w:sz w:val="28"/>
          <w:szCs w:val="28"/>
        </w:rPr>
        <w:t>5. Tăng cường chỉ đạo, kiểm tra, xử lý tham nhũng để nâng cao hiệu quả công tác phòng, chống tham nhũng, lãng phí</w:t>
      </w:r>
    </w:p>
    <w:p w:rsidR="00E844D1" w:rsidRPr="00E844D1" w:rsidRDefault="00E844D1" w:rsidP="005D4DD5">
      <w:pPr>
        <w:jc w:val="both"/>
        <w:rPr>
          <w:sz w:val="28"/>
          <w:szCs w:val="28"/>
        </w:rPr>
      </w:pPr>
      <w:r>
        <w:rPr>
          <w:b/>
          <w:sz w:val="28"/>
          <w:szCs w:val="28"/>
        </w:rPr>
        <w:lastRenderedPageBreak/>
        <w:tab/>
      </w:r>
      <w:r>
        <w:rPr>
          <w:sz w:val="28"/>
          <w:szCs w:val="28"/>
        </w:rPr>
        <w:t>Quản lý và giám sát chặt chẽ thực hiện nhiệm vụ, công vụ đối với công chức trong những lĩnh vực nhạy cảm như: tài chính, đất đai, xây dựng cơ bản, huy động và sử dụng các khoản đóng góp của nhân dân.</w:t>
      </w:r>
    </w:p>
    <w:p w:rsidR="003F2CEA" w:rsidRDefault="005E67D0" w:rsidP="005D4DD5">
      <w:pPr>
        <w:jc w:val="both"/>
        <w:rPr>
          <w:b/>
          <w:sz w:val="28"/>
          <w:szCs w:val="28"/>
        </w:rPr>
      </w:pPr>
      <w:r>
        <w:rPr>
          <w:b/>
          <w:sz w:val="28"/>
          <w:szCs w:val="28"/>
        </w:rPr>
        <w:tab/>
      </w:r>
      <w:r w:rsidR="003F2CEA">
        <w:rPr>
          <w:b/>
          <w:sz w:val="28"/>
          <w:szCs w:val="28"/>
        </w:rPr>
        <w:t>6. Tăng cường phối hợp chặt chẽ với Ủy ban Mặt trận Tổ quốc Việt Nam trong việc giám sát, phát hiện đấu tranh với những hiện tượng tham nhũng</w:t>
      </w:r>
    </w:p>
    <w:p w:rsidR="003F2CEA" w:rsidRDefault="003F2CEA" w:rsidP="005D4DD5">
      <w:pPr>
        <w:jc w:val="both"/>
        <w:rPr>
          <w:sz w:val="28"/>
          <w:szCs w:val="28"/>
        </w:rPr>
      </w:pPr>
      <w:r>
        <w:rPr>
          <w:b/>
          <w:sz w:val="28"/>
          <w:szCs w:val="28"/>
        </w:rPr>
        <w:tab/>
      </w:r>
      <w:r>
        <w:rPr>
          <w:sz w:val="28"/>
          <w:szCs w:val="28"/>
        </w:rPr>
        <w:t>Tích cực phối hợp với Ủy ban Mặt trận Tổ quốc Việt Nam củng cố, kiện toàn để nâng cao chất lượng hoạt động của Ban thanh tra nhân dân tạo điều kiện thuận lợi cho hoạt động cũng như kịp thời xử lý, giải quyết kiến nghị, phản ánh nhằm nâng cao hiệu quả hoạt động để góp phần thực hiện tốt Quy chế dân chủ cơ sở, tham gia phòng, chống tham nhũng, thực hành tiết kiệm, chống lãng phí đạt hiệu quả.</w:t>
      </w:r>
    </w:p>
    <w:p w:rsidR="003F2CEA" w:rsidRDefault="003F2CEA" w:rsidP="005D4DD5">
      <w:pPr>
        <w:jc w:val="both"/>
        <w:rPr>
          <w:b/>
          <w:sz w:val="28"/>
          <w:szCs w:val="28"/>
        </w:rPr>
      </w:pPr>
      <w:r>
        <w:rPr>
          <w:sz w:val="28"/>
          <w:szCs w:val="28"/>
        </w:rPr>
        <w:tab/>
      </w:r>
      <w:r>
        <w:rPr>
          <w:b/>
          <w:sz w:val="28"/>
          <w:szCs w:val="28"/>
        </w:rPr>
        <w:t>III. TỔ CHỨC THỰC HIỆN</w:t>
      </w:r>
    </w:p>
    <w:p w:rsidR="003F2CEA" w:rsidRPr="002D3346" w:rsidRDefault="002D3346" w:rsidP="002D3346">
      <w:pPr>
        <w:jc w:val="both"/>
        <w:rPr>
          <w:sz w:val="28"/>
          <w:szCs w:val="28"/>
        </w:rPr>
      </w:pPr>
      <w:r w:rsidRPr="002D3346">
        <w:rPr>
          <w:b/>
          <w:sz w:val="28"/>
          <w:szCs w:val="28"/>
        </w:rPr>
        <w:tab/>
      </w:r>
      <w:r w:rsidRPr="002D3346">
        <w:rPr>
          <w:sz w:val="28"/>
          <w:szCs w:val="28"/>
        </w:rPr>
        <w:t>1</w:t>
      </w:r>
      <w:r>
        <w:rPr>
          <w:sz w:val="28"/>
          <w:szCs w:val="28"/>
        </w:rPr>
        <w:t xml:space="preserve">. </w:t>
      </w:r>
      <w:r w:rsidR="003F2CEA" w:rsidRPr="002D3346">
        <w:rPr>
          <w:sz w:val="28"/>
          <w:szCs w:val="28"/>
        </w:rPr>
        <w:t>Các ban, ngành, đoàn thể căn cứ vào chức năng, nhiệm vụ của mình triển khai thực hiện tốt nội dung kế hoạch này. Quán triệt đến từng hội viên của ngành mình quản lý thực hiện tốt công tác phòng, chống tham nhũng, chống lãng phí năm 2016.</w:t>
      </w:r>
    </w:p>
    <w:p w:rsidR="002D3346" w:rsidRDefault="002D3346" w:rsidP="002D3346">
      <w:pPr>
        <w:jc w:val="both"/>
        <w:rPr>
          <w:sz w:val="28"/>
          <w:szCs w:val="28"/>
        </w:rPr>
      </w:pPr>
      <w:r w:rsidRPr="002D3346">
        <w:rPr>
          <w:sz w:val="28"/>
          <w:szCs w:val="28"/>
        </w:rPr>
        <w:tab/>
        <w:t>Định</w:t>
      </w:r>
      <w:r>
        <w:rPr>
          <w:sz w:val="28"/>
          <w:szCs w:val="28"/>
        </w:rPr>
        <w:t xml:space="preserve"> kỳ hàng quý, 06 tháng, 09 tháng, hàng năm phải kịp thời báo cáo kết quả thực hiện về công tác phòng, chống tham nhũng cho Ủy ban nhân dân xã qua Công chức Tư pháp (phụ trách chung) để tổng hợp báo cáo về trên theo đúng quy định.</w:t>
      </w:r>
    </w:p>
    <w:p w:rsidR="003F2CEA" w:rsidRDefault="003F2CEA" w:rsidP="002D3346">
      <w:pPr>
        <w:jc w:val="both"/>
        <w:rPr>
          <w:sz w:val="28"/>
          <w:szCs w:val="28"/>
        </w:rPr>
      </w:pPr>
      <w:r w:rsidRPr="003F2CEA">
        <w:rPr>
          <w:b/>
          <w:sz w:val="28"/>
          <w:szCs w:val="28"/>
        </w:rPr>
        <w:tab/>
        <w:t>2.</w:t>
      </w:r>
      <w:r>
        <w:rPr>
          <w:b/>
          <w:sz w:val="28"/>
          <w:szCs w:val="28"/>
        </w:rPr>
        <w:t xml:space="preserve"> </w:t>
      </w:r>
      <w:r w:rsidR="002D3346" w:rsidRPr="002D3346">
        <w:rPr>
          <w:sz w:val="28"/>
          <w:szCs w:val="28"/>
        </w:rPr>
        <w:t>Giao</w:t>
      </w:r>
      <w:r w:rsidR="002D3346">
        <w:rPr>
          <w:sz w:val="28"/>
          <w:szCs w:val="28"/>
        </w:rPr>
        <w:t xml:space="preserve"> Công chức Tư pháp xã (phụ trách chung), Công chức Văn phòng – Thống kê (phụ trách Nội vụ), các ban, ngành, đoàn thể thường xuyên kiểm tra việc thực hiện nội dung kế hoạch này; đồng thời giao Công chức Tư pháp (phụ trách chung) tổng hợp tình hình và kết quả thực hiện tham mưu cho Ủy ban nhân dân xã báo cáo về Ủy ban nhân dân huyện qua Phòng Thanh tra huyện theo định kỳ và đột xuất.</w:t>
      </w:r>
    </w:p>
    <w:p w:rsidR="002D3346" w:rsidRDefault="002D3346" w:rsidP="002D3346">
      <w:pPr>
        <w:jc w:val="both"/>
        <w:rPr>
          <w:sz w:val="28"/>
          <w:szCs w:val="28"/>
        </w:rPr>
      </w:pPr>
      <w:r w:rsidRPr="002D3346">
        <w:rPr>
          <w:sz w:val="28"/>
          <w:szCs w:val="28"/>
        </w:rPr>
        <w:tab/>
        <w:t>Trên</w:t>
      </w:r>
      <w:r>
        <w:rPr>
          <w:sz w:val="28"/>
          <w:szCs w:val="28"/>
        </w:rPr>
        <w:t xml:space="preserve"> đây là kế hoạch thực hiện công tác phòng, chống tham nhũng trên địa bàn xã Mỹ Thạnh năm 2016, Ủy ban nhân dân xã yêu cầu các ban, ngành, đoàn thể có liên quan triển khai thực hiện tốt có hiệu quả cao nội dung kế hoạch này./.</w:t>
      </w:r>
    </w:p>
    <w:p w:rsidR="00086E94" w:rsidRPr="002D3346" w:rsidRDefault="00086E94" w:rsidP="002D3346">
      <w:pPr>
        <w:jc w:val="both"/>
        <w:rPr>
          <w:sz w:val="28"/>
          <w:szCs w:val="28"/>
        </w:rPr>
      </w:pPr>
    </w:p>
    <w:tbl>
      <w:tblPr>
        <w:tblW w:w="8897" w:type="dxa"/>
        <w:tblLook w:val="01E0"/>
      </w:tblPr>
      <w:tblGrid>
        <w:gridCol w:w="4141"/>
        <w:gridCol w:w="763"/>
        <w:gridCol w:w="3993"/>
      </w:tblGrid>
      <w:tr w:rsidR="002D3346" w:rsidRPr="00642BC1" w:rsidTr="00A558BD">
        <w:tc>
          <w:tcPr>
            <w:tcW w:w="4141" w:type="dxa"/>
          </w:tcPr>
          <w:p w:rsidR="002D3346" w:rsidRPr="00F63FC1" w:rsidRDefault="002D3346" w:rsidP="00EC2564">
            <w:pPr>
              <w:spacing w:before="0" w:after="0"/>
              <w:jc w:val="both"/>
              <w:rPr>
                <w:lang w:val="nl-NL"/>
              </w:rPr>
            </w:pPr>
            <w:r w:rsidRPr="00F63FC1">
              <w:rPr>
                <w:b/>
                <w:i/>
                <w:sz w:val="24"/>
                <w:szCs w:val="24"/>
                <w:lang w:val="nl-NL"/>
              </w:rPr>
              <w:t>Nơi nhận</w:t>
            </w:r>
            <w:r w:rsidRPr="00F63FC1">
              <w:rPr>
                <w:i/>
                <w:sz w:val="24"/>
                <w:szCs w:val="24"/>
                <w:lang w:val="nl-NL"/>
              </w:rPr>
              <w:t>:</w:t>
            </w:r>
          </w:p>
        </w:tc>
        <w:tc>
          <w:tcPr>
            <w:tcW w:w="763" w:type="dxa"/>
          </w:tcPr>
          <w:p w:rsidR="002D3346" w:rsidRPr="00F63FC1" w:rsidRDefault="002D3346" w:rsidP="00EC2564">
            <w:pPr>
              <w:spacing w:before="0" w:after="0"/>
              <w:jc w:val="both"/>
              <w:rPr>
                <w:lang w:val="nl-NL"/>
              </w:rPr>
            </w:pPr>
          </w:p>
        </w:tc>
        <w:tc>
          <w:tcPr>
            <w:tcW w:w="3993" w:type="dxa"/>
          </w:tcPr>
          <w:p w:rsidR="002D3346" w:rsidRPr="00642BC1" w:rsidRDefault="002D3346" w:rsidP="00EC2564">
            <w:pPr>
              <w:tabs>
                <w:tab w:val="center" w:pos="6480"/>
              </w:tabs>
              <w:spacing w:before="0" w:after="0"/>
              <w:ind w:right="3"/>
              <w:jc w:val="center"/>
              <w:rPr>
                <w:sz w:val="28"/>
                <w:szCs w:val="28"/>
                <w:lang w:val="nl-NL"/>
              </w:rPr>
            </w:pPr>
            <w:r w:rsidRPr="00642BC1">
              <w:rPr>
                <w:b/>
                <w:sz w:val="28"/>
                <w:szCs w:val="28"/>
                <w:lang w:val="nl-NL"/>
              </w:rPr>
              <w:t>CHỦ TỊCH</w:t>
            </w:r>
          </w:p>
        </w:tc>
      </w:tr>
      <w:tr w:rsidR="002D3346" w:rsidRPr="00642BC1" w:rsidTr="00A558BD">
        <w:tc>
          <w:tcPr>
            <w:tcW w:w="4141" w:type="dxa"/>
          </w:tcPr>
          <w:p w:rsidR="002D3346" w:rsidRPr="000B09C7" w:rsidRDefault="002D3346" w:rsidP="00EC2564">
            <w:pPr>
              <w:spacing w:before="0" w:after="0"/>
              <w:rPr>
                <w:sz w:val="22"/>
                <w:lang w:val="nl-NL"/>
              </w:rPr>
            </w:pPr>
            <w:r w:rsidRPr="000B09C7">
              <w:rPr>
                <w:sz w:val="22"/>
                <w:lang w:val="nl-NL"/>
              </w:rPr>
              <w:t xml:space="preserve">- </w:t>
            </w:r>
            <w:r>
              <w:rPr>
                <w:sz w:val="22"/>
                <w:lang w:val="nl-NL"/>
              </w:rPr>
              <w:t xml:space="preserve">Thanh tra </w:t>
            </w:r>
            <w:r w:rsidRPr="000B09C7">
              <w:rPr>
                <w:sz w:val="22"/>
                <w:lang w:val="nl-NL"/>
              </w:rPr>
              <w:t>huyện;</w:t>
            </w:r>
          </w:p>
          <w:p w:rsidR="002D3346" w:rsidRPr="000B09C7" w:rsidRDefault="002D3346" w:rsidP="00EC2564">
            <w:pPr>
              <w:spacing w:before="0" w:after="0"/>
              <w:rPr>
                <w:sz w:val="22"/>
                <w:lang w:val="nl-NL"/>
              </w:rPr>
            </w:pPr>
            <w:r w:rsidRPr="000B09C7">
              <w:rPr>
                <w:sz w:val="22"/>
                <w:lang w:val="nl-NL"/>
              </w:rPr>
              <w:t>- TT. ĐU, TT.HĐND xã (chỉ đạo);</w:t>
            </w:r>
          </w:p>
          <w:p w:rsidR="002D3346" w:rsidRDefault="002D3346" w:rsidP="00EC2564">
            <w:pPr>
              <w:spacing w:before="0" w:after="0"/>
              <w:rPr>
                <w:sz w:val="22"/>
                <w:lang w:val="nl-NL"/>
              </w:rPr>
            </w:pPr>
            <w:r w:rsidRPr="000B09C7">
              <w:rPr>
                <w:sz w:val="22"/>
                <w:lang w:val="nl-NL"/>
              </w:rPr>
              <w:t>- CT, các PCT UBND xã (chỉ đạo);</w:t>
            </w:r>
          </w:p>
          <w:p w:rsidR="0014537B" w:rsidRPr="000B09C7" w:rsidRDefault="0014537B" w:rsidP="00EC2564">
            <w:pPr>
              <w:spacing w:before="0" w:after="0"/>
              <w:rPr>
                <w:sz w:val="22"/>
                <w:lang w:val="nl-NL"/>
              </w:rPr>
            </w:pPr>
            <w:r>
              <w:rPr>
                <w:sz w:val="22"/>
                <w:lang w:val="nl-NL"/>
              </w:rPr>
              <w:t>- UB.MTTQ xã;</w:t>
            </w:r>
          </w:p>
          <w:p w:rsidR="002D3346" w:rsidRDefault="002D3346" w:rsidP="00EC2564">
            <w:pPr>
              <w:spacing w:before="0" w:after="0"/>
              <w:rPr>
                <w:sz w:val="22"/>
                <w:lang w:val="nl-NL"/>
              </w:rPr>
            </w:pPr>
            <w:r w:rsidRPr="000B09C7">
              <w:rPr>
                <w:sz w:val="22"/>
                <w:lang w:val="nl-NL"/>
              </w:rPr>
              <w:t>- Các ban, ngành, đoàn thể xã (thực hiện)</w:t>
            </w:r>
            <w:r>
              <w:rPr>
                <w:sz w:val="22"/>
                <w:lang w:val="nl-NL"/>
              </w:rPr>
              <w:t>;</w:t>
            </w:r>
          </w:p>
          <w:p w:rsidR="002D3346" w:rsidRPr="000B09C7" w:rsidRDefault="002D3346" w:rsidP="00EC2564">
            <w:pPr>
              <w:spacing w:before="0" w:after="0"/>
              <w:rPr>
                <w:lang w:val="nl-NL"/>
              </w:rPr>
            </w:pPr>
            <w:r>
              <w:rPr>
                <w:sz w:val="22"/>
                <w:lang w:val="nl-NL"/>
              </w:rPr>
              <w:t>- Lưu: VT, Phước, 20b.</w:t>
            </w:r>
          </w:p>
        </w:tc>
        <w:tc>
          <w:tcPr>
            <w:tcW w:w="763" w:type="dxa"/>
          </w:tcPr>
          <w:p w:rsidR="002D3346" w:rsidRPr="00F63FC1" w:rsidRDefault="002D3346" w:rsidP="00EC2564">
            <w:pPr>
              <w:spacing w:before="0" w:after="0"/>
              <w:jc w:val="both"/>
              <w:rPr>
                <w:lang w:val="nl-NL"/>
              </w:rPr>
            </w:pPr>
          </w:p>
        </w:tc>
        <w:tc>
          <w:tcPr>
            <w:tcW w:w="3993" w:type="dxa"/>
          </w:tcPr>
          <w:p w:rsidR="002D3346" w:rsidRPr="00F21A0B" w:rsidRDefault="00F21A0B" w:rsidP="00F21A0B">
            <w:pPr>
              <w:spacing w:before="0" w:after="0"/>
              <w:jc w:val="center"/>
              <w:rPr>
                <w:b/>
                <w:sz w:val="28"/>
                <w:szCs w:val="28"/>
                <w:lang w:val="nl-NL"/>
              </w:rPr>
            </w:pPr>
            <w:r w:rsidRPr="00F21A0B">
              <w:rPr>
                <w:b/>
                <w:sz w:val="28"/>
                <w:szCs w:val="28"/>
                <w:lang w:val="nl-NL"/>
              </w:rPr>
              <w:t>Đã ký</w:t>
            </w:r>
          </w:p>
          <w:p w:rsidR="002D3346" w:rsidRPr="00F21A0B" w:rsidRDefault="002D3346" w:rsidP="00F21A0B">
            <w:pPr>
              <w:spacing w:before="0" w:after="0"/>
              <w:jc w:val="center"/>
              <w:rPr>
                <w:b/>
                <w:sz w:val="28"/>
                <w:szCs w:val="28"/>
                <w:lang w:val="nl-NL"/>
              </w:rPr>
            </w:pPr>
            <w:r w:rsidRPr="00F21A0B">
              <w:rPr>
                <w:b/>
                <w:sz w:val="28"/>
                <w:szCs w:val="28"/>
                <w:lang w:val="nl-NL"/>
              </w:rPr>
              <w:t>Phạm Thanh Diễn</w:t>
            </w:r>
          </w:p>
        </w:tc>
      </w:tr>
    </w:tbl>
    <w:p w:rsidR="002D3346" w:rsidRPr="002D3346" w:rsidRDefault="002D3346" w:rsidP="002D3346">
      <w:pPr>
        <w:jc w:val="both"/>
        <w:rPr>
          <w:sz w:val="28"/>
          <w:szCs w:val="28"/>
        </w:rPr>
      </w:pPr>
    </w:p>
    <w:sectPr w:rsidR="002D3346" w:rsidRPr="002D3346" w:rsidSect="00DC107A">
      <w:footerReference w:type="default" r:id="rId8"/>
      <w:pgSz w:w="11907" w:h="16839"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E03" w:rsidRDefault="00A97E03" w:rsidP="00DC107A">
      <w:pPr>
        <w:spacing w:before="0" w:after="0" w:line="240" w:lineRule="auto"/>
      </w:pPr>
      <w:r>
        <w:separator/>
      </w:r>
    </w:p>
  </w:endnote>
  <w:endnote w:type="continuationSeparator" w:id="1">
    <w:p w:rsidR="00A97E03" w:rsidRDefault="00A97E03" w:rsidP="00DC107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257"/>
      <w:docPartObj>
        <w:docPartGallery w:val="Page Numbers (Bottom of Page)"/>
        <w:docPartUnique/>
      </w:docPartObj>
    </w:sdtPr>
    <w:sdtContent>
      <w:p w:rsidR="00DC107A" w:rsidRDefault="007563F2">
        <w:pPr>
          <w:pStyle w:val="Footer"/>
          <w:jc w:val="right"/>
        </w:pPr>
        <w:fldSimple w:instr=" PAGE   \* MERGEFORMAT ">
          <w:r w:rsidR="00F21A0B">
            <w:rPr>
              <w:noProof/>
            </w:rPr>
            <w:t>3</w:t>
          </w:r>
        </w:fldSimple>
      </w:p>
    </w:sdtContent>
  </w:sdt>
  <w:p w:rsidR="00DC107A" w:rsidRDefault="00DC1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E03" w:rsidRDefault="00A97E03" w:rsidP="00DC107A">
      <w:pPr>
        <w:spacing w:before="0" w:after="0" w:line="240" w:lineRule="auto"/>
      </w:pPr>
      <w:r>
        <w:separator/>
      </w:r>
    </w:p>
  </w:footnote>
  <w:footnote w:type="continuationSeparator" w:id="1">
    <w:p w:rsidR="00A97E03" w:rsidRDefault="00A97E03" w:rsidP="00DC107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5457"/>
    <w:multiLevelType w:val="hybridMultilevel"/>
    <w:tmpl w:val="189EA9E4"/>
    <w:lvl w:ilvl="0" w:tplc="82067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81034"/>
    <w:multiLevelType w:val="hybridMultilevel"/>
    <w:tmpl w:val="13BC5E96"/>
    <w:lvl w:ilvl="0" w:tplc="32BCCB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71F9A"/>
    <w:multiLevelType w:val="hybridMultilevel"/>
    <w:tmpl w:val="E18435F8"/>
    <w:lvl w:ilvl="0" w:tplc="6074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D4798B"/>
    <w:multiLevelType w:val="hybridMultilevel"/>
    <w:tmpl w:val="8C9A691E"/>
    <w:lvl w:ilvl="0" w:tplc="0722EE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DD3DF4"/>
    <w:multiLevelType w:val="hybridMultilevel"/>
    <w:tmpl w:val="D0028596"/>
    <w:lvl w:ilvl="0" w:tplc="11D69F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01B94"/>
    <w:multiLevelType w:val="hybridMultilevel"/>
    <w:tmpl w:val="5C2EC568"/>
    <w:lvl w:ilvl="0" w:tplc="07F0FA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B8065D"/>
    <w:multiLevelType w:val="hybridMultilevel"/>
    <w:tmpl w:val="27F66F24"/>
    <w:lvl w:ilvl="0" w:tplc="9F227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B92F74"/>
    <w:rsid w:val="00013713"/>
    <w:rsid w:val="00033439"/>
    <w:rsid w:val="0005442A"/>
    <w:rsid w:val="00086E94"/>
    <w:rsid w:val="000D0A97"/>
    <w:rsid w:val="0014537B"/>
    <w:rsid w:val="002B4A45"/>
    <w:rsid w:val="002D3346"/>
    <w:rsid w:val="00321FAF"/>
    <w:rsid w:val="00327057"/>
    <w:rsid w:val="003B7F6A"/>
    <w:rsid w:val="003F2CEA"/>
    <w:rsid w:val="00400533"/>
    <w:rsid w:val="0044751C"/>
    <w:rsid w:val="00596DF3"/>
    <w:rsid w:val="005D4DD5"/>
    <w:rsid w:val="005E67D0"/>
    <w:rsid w:val="007563F2"/>
    <w:rsid w:val="007A58A8"/>
    <w:rsid w:val="007A6D22"/>
    <w:rsid w:val="007E3531"/>
    <w:rsid w:val="008778B3"/>
    <w:rsid w:val="008B69DE"/>
    <w:rsid w:val="009C30B5"/>
    <w:rsid w:val="009C4E6C"/>
    <w:rsid w:val="00A12867"/>
    <w:rsid w:val="00A558BD"/>
    <w:rsid w:val="00A62CF4"/>
    <w:rsid w:val="00A97E03"/>
    <w:rsid w:val="00B92F74"/>
    <w:rsid w:val="00CF758D"/>
    <w:rsid w:val="00DC107A"/>
    <w:rsid w:val="00E844D1"/>
    <w:rsid w:val="00EA44D0"/>
    <w:rsid w:val="00EE5451"/>
    <w:rsid w:val="00F21A0B"/>
    <w:rsid w:val="00F51ADA"/>
    <w:rsid w:val="00F66B0D"/>
    <w:rsid w:val="00F75599"/>
    <w:rsid w:val="00F84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74"/>
    <w:pPr>
      <w:ind w:left="720"/>
      <w:contextualSpacing/>
    </w:pPr>
  </w:style>
  <w:style w:type="paragraph" w:styleId="Header">
    <w:name w:val="header"/>
    <w:basedOn w:val="Normal"/>
    <w:link w:val="HeaderChar"/>
    <w:uiPriority w:val="99"/>
    <w:semiHidden/>
    <w:unhideWhenUsed/>
    <w:rsid w:val="00DC107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C107A"/>
  </w:style>
  <w:style w:type="paragraph" w:styleId="Footer">
    <w:name w:val="footer"/>
    <w:basedOn w:val="Normal"/>
    <w:link w:val="FooterChar"/>
    <w:uiPriority w:val="99"/>
    <w:unhideWhenUsed/>
    <w:rsid w:val="00DC10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10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CED2-8182-4BCB-A092-4D8D0038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TTDT</cp:lastModifiedBy>
  <cp:revision>18</cp:revision>
  <cp:lastPrinted>2016-03-17T08:11:00Z</cp:lastPrinted>
  <dcterms:created xsi:type="dcterms:W3CDTF">2016-02-23T02:01:00Z</dcterms:created>
  <dcterms:modified xsi:type="dcterms:W3CDTF">2016-04-06T03:05:00Z</dcterms:modified>
</cp:coreProperties>
</file>